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выполнение работ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hint="cs" w:ascii="Times New Roman" w:hAnsi="Times New Roman" w:cs="Times New Roman"/>
          <w:sz w:val="28"/>
          <w:szCs w:val="28"/>
        </w:rPr>
      </w:r>
      <w:r>
        <w:rPr>
          <w:rFonts w:hint="cs" w:ascii="Times New Roman" w:hAnsi="Times New Roman" w:cs="Times New Roman"/>
          <w:sz w:val="28"/>
          <w:szCs w:val="28"/>
        </w:rPr>
        <w:t xml:space="preserve">ОКПД2 33.11.12.000 Выполнение работ по текущему ремонту бака-аккумулятора горячей воды №2 Котельного цеха №2 Приморских тепловых сетей, г. Владивосток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jc w:val="center"/>
        <w:keepLines/>
        <w:keepNext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keepLines/>
        <w:keepNext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Лот  №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11037007 -РЕМ ПРОД-2026-ДГК-ПТС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br w:type="page" w:clear="all"/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1183"/>
        <w:tabs>
          <w:tab w:val="left" w:pos="560" w:leader="none"/>
          <w:tab w:val="right" w:pos="9911" w:leader="dot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i/>
        </w:rPr>
        <w:fldChar w:fldCharType="begin"/>
      </w:r>
      <w:r>
        <w:rPr>
          <w:rFonts w:ascii="Times New Roman" w:hAnsi="Times New Roman" w:eastAsia="Times New Roman" w:cs="Times New Roman"/>
          <w:b w:val="0"/>
          <w:i/>
        </w:rPr>
        <w:instrText xml:space="preserve"> TOC \o "1-4" \h \z \u </w:instrText>
      </w:r>
      <w:r>
        <w:rPr>
          <w:rFonts w:ascii="Times New Roman" w:hAnsi="Times New Roman" w:eastAsia="Times New Roman" w:cs="Times New Roman"/>
          <w:b w:val="0"/>
          <w:i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</w:rPr>
        <w:fldChar w:fldCharType="end"/>
      </w:r>
      <w:r>
        <w:rPr>
          <w:rFonts w:ascii="Times New Roman" w:hAnsi="Times New Roman" w:cs="Times New Roman"/>
          <w:b/>
          <w:i/>
          <w:sz w:val="26"/>
          <w:szCs w:val="26"/>
        </w:rPr>
      </w:r>
      <w:r>
        <w:rPr>
          <w:rFonts w:ascii="Times New Roman" w:hAnsi="Times New Roman" w:cs="Times New Roman"/>
          <w:b/>
          <w:i/>
          <w:sz w:val="26"/>
          <w:szCs w:val="26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</w:t>
      </w:r>
      <w:r>
        <w:rPr>
          <w:b/>
          <w:sz w:val="24"/>
          <w:szCs w:val="24"/>
        </w:rPr>
        <w:tab/>
        <w:t xml:space="preserve">Общие сведения</w:t>
      </w:r>
      <w:r>
        <w:rPr>
          <w:b/>
          <w:sz w:val="24"/>
          <w:szCs w:val="24"/>
        </w:rPr>
        <w:tab/>
        <w:t xml:space="preserve">3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1.1.</w:t>
      </w:r>
      <w:r>
        <w:rPr>
          <w:sz w:val="24"/>
          <w:szCs w:val="24"/>
        </w:rPr>
        <w:t xml:space="preserve">Обозначения и сокращения</w:t>
      </w:r>
      <w:r>
        <w:rPr>
          <w:sz w:val="24"/>
          <w:szCs w:val="24"/>
        </w:rPr>
        <w:tab/>
        <w:t xml:space="preserve">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1.2.</w:t>
      </w:r>
      <w:r>
        <w:rPr>
          <w:sz w:val="24"/>
          <w:szCs w:val="24"/>
        </w:rPr>
        <w:t xml:space="preserve">Наименование закупаемой продукции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1.3.</w:t>
      </w:r>
      <w:r>
        <w:rPr>
          <w:sz w:val="24"/>
          <w:szCs w:val="24"/>
        </w:rPr>
        <w:t xml:space="preserve">Цель выполнения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1. Перечень объектов заказчика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1.4.</w:t>
      </w:r>
      <w:r>
        <w:rPr>
          <w:sz w:val="24"/>
          <w:szCs w:val="24"/>
          <w:highlight w:val="none"/>
        </w:rPr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договора).</w:t>
      </w:r>
      <w:r>
        <w:rPr>
          <w:sz w:val="24"/>
          <w:szCs w:val="24"/>
          <w:highlight w:val="none"/>
        </w:rPr>
        <w:t xml:space="preserve"> </w:t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</w:t>
      </w:r>
      <w:r>
        <w:rPr>
          <w:b/>
          <w:sz w:val="24"/>
          <w:szCs w:val="24"/>
        </w:rPr>
        <w:tab/>
        <w:t xml:space="preserve">Требования к продукции</w:t>
      </w:r>
      <w:r>
        <w:rPr>
          <w:b/>
          <w:sz w:val="24"/>
          <w:szCs w:val="24"/>
        </w:rPr>
        <w:tab/>
        <w:t xml:space="preserve">4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</w:t>
      </w:r>
      <w:r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 xml:space="preserve">объемам</w:t>
      </w:r>
      <w:r>
        <w:rPr>
          <w:sz w:val="24"/>
          <w:szCs w:val="24"/>
        </w:rPr>
        <w:t xml:space="preserve"> и срокам выполнения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2.1.1.</w:t>
      </w:r>
      <w:r>
        <w:rPr>
          <w:sz w:val="24"/>
          <w:szCs w:val="24"/>
        </w:rPr>
        <w:t xml:space="preserve">Требования к видам и </w:t>
      </w:r>
      <w:r>
        <w:rPr>
          <w:sz w:val="24"/>
          <w:szCs w:val="24"/>
        </w:rPr>
        <w:t xml:space="preserve">объемам</w:t>
      </w:r>
      <w:r>
        <w:rPr>
          <w:sz w:val="24"/>
          <w:szCs w:val="24"/>
        </w:rPr>
        <w:t xml:space="preserve">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Таблица 2. Перечень и объем выполняемых работ</w:t>
      </w:r>
      <w:r>
        <w:rPr>
          <w:sz w:val="24"/>
          <w:szCs w:val="24"/>
        </w:rPr>
        <w:tab/>
        <w:t xml:space="preserve">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2.1.2.</w:t>
      </w:r>
      <w:r>
        <w:rPr>
          <w:sz w:val="24"/>
          <w:szCs w:val="24"/>
        </w:rPr>
        <w:t xml:space="preserve">Требования к срокам выполнения работ</w:t>
      </w:r>
      <w:r>
        <w:rPr>
          <w:sz w:val="24"/>
          <w:szCs w:val="24"/>
        </w:rPr>
        <w:tab/>
        <w:t xml:space="preserve">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Таблица 3. Требования по срокам выполнения работ</w:t>
      </w:r>
      <w:r>
        <w:rPr>
          <w:sz w:val="24"/>
          <w:szCs w:val="24"/>
        </w:rPr>
        <w:tab/>
        <w:t xml:space="preserve">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</w:t>
      </w:r>
      <w:r>
        <w:rPr>
          <w:sz w:val="24"/>
          <w:szCs w:val="24"/>
        </w:rPr>
        <w:t xml:space="preserve">Требования к качеству работ</w:t>
      </w:r>
      <w:r>
        <w:rPr>
          <w:sz w:val="24"/>
          <w:szCs w:val="24"/>
        </w:rPr>
        <w:tab/>
        <w:t xml:space="preserve">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jc w:val="both"/>
        <w:tabs>
          <w:tab w:val="left" w:pos="567" w:leader="none"/>
          <w:tab w:val="left" w:pos="96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Таблица 4. Требования к качеству работ</w:t>
      </w:r>
      <w:r>
        <w:rPr>
          <w:sz w:val="24"/>
          <w:szCs w:val="24"/>
        </w:rPr>
        <w:tab/>
        <w:t xml:space="preserve">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</w:t>
      </w:r>
      <w:r>
        <w:rPr>
          <w:b/>
          <w:sz w:val="24"/>
          <w:szCs w:val="24"/>
        </w:rPr>
        <w:tab/>
        <w:t xml:space="preserve">Требования к документации по ценообразованию на этапе закупки</w:t>
      </w:r>
      <w:r>
        <w:rPr>
          <w:b/>
          <w:sz w:val="24"/>
          <w:szCs w:val="24"/>
        </w:rPr>
        <w:t xml:space="preserve">                           18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</w:t>
      </w:r>
      <w:r>
        <w:rPr>
          <w:b/>
          <w:sz w:val="24"/>
          <w:szCs w:val="24"/>
        </w:rPr>
        <w:tab/>
        <w:t xml:space="preserve">Требования к документации по ценообразованию на этапе заключения                     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keepLines/>
        <w:tabs>
          <w:tab w:val="left" w:pos="567" w:leader="none"/>
          <w:tab w:val="left" w:pos="963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(исполнения) договора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18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567" w:leader="none"/>
          <w:tab w:val="left" w:pos="9639" w:leader="none"/>
        </w:tabs>
        <w:rPr>
          <w:rFonts w:ascii="Times New Roman" w:hAnsi="Times New Roman" w:cs="Times New Roman"/>
          <w:b w:val="0"/>
          <w:i/>
        </w:rPr>
      </w:pPr>
      <w:r>
        <w:rPr>
          <w:b/>
          <w:bCs/>
          <w:sz w:val="24"/>
          <w:szCs w:val="24"/>
        </w:rPr>
        <w:t xml:space="preserve">5.</w:t>
      </w:r>
      <w:r>
        <w:rPr>
          <w:b/>
          <w:bCs/>
          <w:sz w:val="24"/>
          <w:szCs w:val="24"/>
        </w:rPr>
        <w:tab/>
        <w:t xml:space="preserve">Приложения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                       18</w:t>
      </w:r>
      <w:r>
        <w:rPr>
          <w:rFonts w:ascii="Times New Roman" w:hAnsi="Times New Roman" w:cs="Times New Roman"/>
          <w:b w:val="0"/>
          <w:i/>
        </w:rPr>
      </w:r>
      <w:r>
        <w:rPr>
          <w:rFonts w:ascii="Times New Roman" w:hAnsi="Times New Roman" w:cs="Times New Roman"/>
          <w:b w:val="0"/>
          <w:i/>
        </w:rPr>
      </w:r>
    </w:p>
    <w:p>
      <w:pPr>
        <w:spacing w:after="160" w:line="259" w:lineRule="auto"/>
        <w:rPr>
          <w:highlight w:val="none"/>
        </w:rPr>
      </w:pPr>
      <w: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pStyle w:val="997"/>
        <w:ind w:left="357" w:hanging="357"/>
        <w:jc w:val="center"/>
        <w:keepLines/>
        <w:rPr>
          <w:caps/>
        </w:rPr>
      </w:pPr>
      <w:r/>
      <w:bookmarkStart w:id="0" w:name="_Toc51339692"/>
      <w:r/>
      <w:bookmarkStart w:id="1" w:name="_Toc54646395"/>
      <w:r>
        <w:t xml:space="preserve">Общие сведения</w:t>
      </w:r>
      <w:bookmarkEnd w:id="0"/>
      <w:r/>
      <w:bookmarkEnd w:id="1"/>
      <w:r>
        <w:rPr>
          <w:caps/>
        </w:rPr>
      </w:r>
      <w:r>
        <w:rPr>
          <w:caps/>
        </w:rPr>
      </w:r>
    </w:p>
    <w:p>
      <w:pPr>
        <w:pStyle w:val="1000"/>
      </w:pPr>
      <w:r/>
      <w:bookmarkStart w:id="2" w:name="_Toc46743505"/>
      <w:r/>
      <w:bookmarkStart w:id="3" w:name="_Toc54646396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1193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1193"/>
          <w:b w:val="0"/>
          <w:bCs/>
          <w:iCs/>
          <w:sz w:val="26"/>
          <w:szCs w:val="26"/>
        </w:rPr>
      </w:r>
      <w:r>
        <w:rPr>
          <w:rStyle w:val="1193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АО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Акционерное общество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ГОСТ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Государственный стандарт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КС-2</w:t>
            </w:r>
            <w:r>
              <w:rPr>
                <w:bCs w:val="0"/>
                <w14:ligatures w14:val="none"/>
              </w:rPr>
            </w:r>
            <w:r>
              <w:rPr>
                <w:bCs w:val="0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А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кт о приемке выполненных работ (форма № КС-2)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 w:val="0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КС-3</w:t>
            </w:r>
            <w:r>
              <w:rPr>
                <w:bCs w:val="0"/>
                <w14:ligatures w14:val="none"/>
              </w:rPr>
            </w:r>
            <w:r>
              <w:rPr>
                <w:bCs w:val="0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правка о стоимости выполненных работ и затрат (форма № КС-3)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ЛНА</w:t>
            </w:r>
            <w:r>
              <w:rPr>
                <w:iCs/>
                <w:sz w:val="24"/>
                <w:szCs w:val="24"/>
                <w14:ligatures w14:val="none"/>
              </w:rPr>
            </w:r>
            <w:r>
              <w:rPr>
                <w:iCs/>
                <w:sz w:val="24"/>
                <w:szCs w:val="24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Локальный нормативный акт</w:t>
            </w:r>
            <w:r>
              <w:rPr>
                <w:iCs/>
                <w:sz w:val="24"/>
                <w:szCs w:val="24"/>
                <w14:ligatures w14:val="none"/>
              </w:rPr>
            </w:r>
            <w:r>
              <w:rPr>
                <w:iCs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ОКПД2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Общероссийский классификатор продукции по видам экономической деятельности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ППР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Проект производства работ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ПТС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Приморские тепловые сети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РД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Руководящий документ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РТМ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Руководящая технология монтажа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РФ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Российская Федерация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СНиП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Строительные нормы и правила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СП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Структурное подразделение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ТТ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pP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</w:rPr>
              <w:t xml:space="preserve">Технические требования</w:t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  <w:r>
              <w:rPr>
                <w:rStyle w:val="1193"/>
                <w:b w:val="0"/>
                <w:bCs w:val="0"/>
                <w:i w:val="0"/>
                <w:iCs w:val="0"/>
                <w:sz w:val="24"/>
                <w:szCs w:val="24"/>
                <w:shd w:val="clear" w:color="auto" w:fill="ffffff" w:themeFill="background1"/>
                <w14:ligatures w14:val="none"/>
              </w:rPr>
            </w:r>
          </w:p>
        </w:tc>
      </w:tr>
    </w:tbl>
    <w:p>
      <w:r/>
      <w:r/>
    </w:p>
    <w:p>
      <w:pPr>
        <w:spacing w:after="160" w:line="259" w:lineRule="auto"/>
      </w:pPr>
      <w:r>
        <w:br w:type="page" w:clear="all"/>
      </w:r>
      <w:r/>
    </w:p>
    <w:p>
      <w:pPr>
        <w:pStyle w:val="1000"/>
        <w:ind w:left="432" w:right="0" w:hanging="432"/>
      </w:pPr>
      <w:r/>
      <w:bookmarkStart w:id="4" w:name="_Toc54646397"/>
      <w:r>
        <w:t xml:space="preserve">Наименование закупаемой продукции</w:t>
      </w:r>
      <w:bookmarkEnd w:id="4"/>
      <w:r/>
      <w:r/>
    </w:p>
    <w:p>
      <w:pPr>
        <w:ind w:left="-108" w:right="-108" w:firstLine="0"/>
        <w:jc w:val="both"/>
        <w:spacing w:before="60" w:after="60" w:line="360" w:lineRule="auto"/>
        <w:rPr>
          <w:bCs/>
          <w:sz w:val="24"/>
          <w:szCs w:val="24"/>
          <w:highlight w:val="white"/>
        </w:rPr>
      </w:pPr>
      <w:r>
        <w:rPr>
          <w:i/>
          <w:sz w:val="24"/>
          <w:szCs w:val="24"/>
          <w:lang w:eastAsia="en-US"/>
        </w:rPr>
      </w:r>
      <w:r>
        <w:rPr>
          <w:i/>
          <w:sz w:val="24"/>
          <w:szCs w:val="24"/>
          <w:lang w:eastAsia="en-US"/>
        </w:rPr>
        <w:t xml:space="preserve">ОКПД2 33.11.12.000 Выполнение работ по текущему ремонту бака-аккумулятора горячей воды №2 Котельного цеха №2 Приморских тепловых сетей, г. Владивосток</w:t>
      </w:r>
      <w:r>
        <w:rPr>
          <w:i/>
          <w:sz w:val="24"/>
          <w:szCs w:val="24"/>
          <w:highlight w:val="white"/>
          <w:lang w:eastAsia="en-US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00"/>
        <w:rPr>
          <w:rStyle w:val="1193"/>
          <w:b/>
          <w:highlight w:val="white"/>
        </w:rPr>
      </w:pPr>
      <w:r>
        <w:rPr>
          <w:highlight w:val="white"/>
        </w:rPr>
        <w:t xml:space="preserve">Цель </w:t>
      </w:r>
      <w:r>
        <w:rPr>
          <w:highlight w:val="white"/>
        </w:rPr>
        <w:t xml:space="preserve">выполнения работ </w:t>
      </w:r>
      <w:r>
        <w:rPr>
          <w:rStyle w:val="1193"/>
          <w:b/>
          <w:highlight w:val="white"/>
        </w:rPr>
      </w:r>
      <w:r>
        <w:rPr>
          <w:rStyle w:val="1193"/>
          <w:b/>
          <w:highlight w:val="white"/>
        </w:rPr>
      </w:r>
    </w:p>
    <w:p>
      <w:pPr>
        <w:pStyle w:val="1196"/>
        <w:ind w:left="0"/>
        <w:jc w:val="both"/>
        <w:spacing w:line="360" w:lineRule="auto"/>
        <w:rPr>
          <w:highlight w:val="white"/>
        </w:rPr>
      </w:pPr>
      <w:r>
        <w:rPr>
          <w:i/>
          <w:highlight w:val="white"/>
        </w:rPr>
        <w:t xml:space="preserve">Целью работы является поддержание исправного состояния, обеспечение надежной и безопасной эксплуатации </w:t>
      </w:r>
      <w:r>
        <w:rPr>
          <w:i/>
          <w:sz w:val="24"/>
          <w:szCs w:val="24"/>
          <w:lang w:eastAsia="en-US"/>
        </w:rPr>
        <w:t xml:space="preserve">бака-аккумулятора горячей воды №2</w:t>
      </w:r>
      <w:r>
        <w:rPr>
          <w:i/>
          <w:sz w:val="24"/>
          <w:szCs w:val="24"/>
          <w:highlight w:val="white"/>
          <w:lang w:eastAsia="en-US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196"/>
        <w:ind w:left="0"/>
        <w:jc w:val="both"/>
        <w:spacing w:line="360" w:lineRule="auto"/>
        <w:rPr>
          <w:bCs/>
          <w:i/>
          <w:highlight w:val="yellow"/>
        </w:rPr>
      </w:pPr>
      <w:r>
        <w:rPr>
          <w:i/>
          <w:highlight w:val="none"/>
        </w:rPr>
      </w:r>
      <w:r>
        <w:rPr>
          <w:bCs/>
          <w:i/>
          <w:highlight w:val="yellow"/>
        </w:rPr>
      </w:r>
      <w:r>
        <w:rPr>
          <w:bCs/>
          <w:i/>
          <w:highlight w:val="yellow"/>
        </w:rPr>
      </w:r>
    </w:p>
    <w:p>
      <w:pPr>
        <w:pStyle w:val="997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1.</w:t>
      </w:r>
      <w:r>
        <w:rPr>
          <w:sz w:val="24"/>
          <w:szCs w:val="24"/>
        </w:rPr>
        <w:t xml:space="preserve"> Перечень объектов Заказчика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5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4"/>
        <w:gridCol w:w="3537"/>
        <w:gridCol w:w="2547"/>
      </w:tblGrid>
      <w:tr>
        <w:tblPrEx/>
        <w:trPr>
          <w:trHeight w:val="1511"/>
        </w:trPr>
        <w:tc>
          <w:tcPr>
            <w:tcW w:w="904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353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объекта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54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Расположение объекта </w:t>
            </w:r>
            <w:r>
              <w:rPr>
                <w:sz w:val="22"/>
                <w:szCs w:val="22"/>
                <w:highlight w:val="white"/>
              </w:rPr>
              <w:br/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(место производства работ)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11"/>
        </w:trPr>
        <w:tc>
          <w:tcPr>
            <w:tcW w:w="904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1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353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2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54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3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308"/>
        </w:trPr>
        <w:tc>
          <w:tcPr>
            <w:tcW w:w="904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353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Бак аккумуляторный для воды 5000 м.куб расположенный по адресу: г.Владивосток (инв. №00000000000000037235)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54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СП «Приморские тепловые сети» АО «ДГК»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(СП «ПТС» АО ДГК») Российская Федерация, Приморский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Владивосток,  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ул. Бородинская, 24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left="567" w:hanging="567"/>
        <w:spacing w:line="360" w:lineRule="auto"/>
        <w:rPr>
          <w:sz w:val="24"/>
          <w:szCs w:val="24"/>
          <w:highlight w:val="white"/>
        </w:rPr>
      </w:pPr>
      <w:r>
        <w:rPr>
          <w:rFonts w:eastAsia="Calibri"/>
          <w:i/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spacing w:after="160" w:line="259" w:lineRule="auto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1.4.</w:t>
        <w:tab/>
        <w:t xml:space="preserve">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both"/>
        <w:spacing w:after="160" w:line="259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Техническую и иную документацию, содержащую исходные данные для выполнения Подрядчиком Работ (После письменного запроса Подрядчика);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spacing w:after="160" w:line="259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97"/>
        <w:numPr>
          <w:ilvl w:val="0"/>
          <w:numId w:val="0"/>
        </w:numPr>
        <w:jc w:val="left"/>
        <w:keepLines/>
        <w:rPr>
          <w:caps/>
        </w:rPr>
      </w:pPr>
      <w:r>
        <w:rPr>
          <w:iCs/>
          <w:highlight w:val="none"/>
        </w:rPr>
      </w:r>
      <w:r>
        <w:rPr>
          <w:caps/>
        </w:rPr>
      </w:r>
      <w:r>
        <w:rPr>
          <w:caps/>
        </w:rPr>
      </w:r>
    </w:p>
    <w:p>
      <w:pPr>
        <w:pStyle w:val="997"/>
        <w:ind w:left="357" w:hanging="357"/>
        <w:jc w:val="center"/>
        <w:keepLines/>
        <w:rPr>
          <w:iCs/>
          <w:caps/>
        </w:rPr>
      </w:pPr>
      <w:r>
        <w:rPr>
          <w:iCs/>
        </w:rPr>
        <w:t xml:space="preserve">Требования к продукции</w:t>
      </w:r>
      <w:r>
        <w:rPr>
          <w:iCs/>
          <w:caps/>
        </w:rPr>
      </w:r>
      <w:r>
        <w:rPr>
          <w:iCs/>
          <w:caps/>
        </w:rPr>
      </w:r>
    </w:p>
    <w:p>
      <w:pPr>
        <w:pStyle w:val="1000"/>
        <w:ind w:left="432" w:right="0" w:hanging="432"/>
      </w:pPr>
      <w:r/>
      <w:bookmarkStart w:id="9" w:name="_Toc54646404"/>
      <w:r>
        <w:t xml:space="preserve">Требования к объемам и срокам выполнения работ</w:t>
      </w:r>
      <w:bookmarkEnd w:id="9"/>
      <w:r/>
      <w:r/>
    </w:p>
    <w:p>
      <w:pPr>
        <w:pStyle w:val="999"/>
      </w:pPr>
      <w:r/>
      <w:bookmarkStart w:id="10" w:name="_Toc54646405"/>
      <w:r>
        <w:t xml:space="preserve">Требования к видам и объемам работ</w:t>
      </w:r>
      <w:bookmarkEnd w:id="10"/>
      <w:r/>
      <w:r/>
    </w:p>
    <w:p>
      <w:pPr>
        <w:pStyle w:val="997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1" w:name="_Toc51339695"/>
      <w:r/>
      <w:bookmarkStart w:id="12" w:name="_Toc54646406"/>
      <w:r>
        <w:rPr>
          <w:sz w:val="24"/>
          <w:szCs w:val="24"/>
        </w:rPr>
        <w:t xml:space="preserve">Таблица 2. Перечень </w:t>
      </w:r>
      <w:bookmarkEnd w:id="11"/>
      <w:r>
        <w:rPr>
          <w:sz w:val="24"/>
          <w:szCs w:val="24"/>
        </w:rPr>
        <w:t xml:space="preserve">и объем выполняемых работ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707"/>
        <w:gridCol w:w="2127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0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  <w:t xml:space="preserve">Наименование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96"/>
              <w:numPr>
                <w:ilvl w:val="0"/>
                <w:numId w:val="4"/>
              </w:numPr>
            </w:pPr>
            <w:r/>
            <w:r/>
          </w:p>
        </w:tc>
        <w:tc>
          <w:tcPr>
            <w:tcW w:w="470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ОКПД2 33.11.12.000 Выполнение работ по текущему ремонту бака-аккумулятора горячей воды №2 Котельного цеха №2 Приморских тепловых сетей, г. Владивосток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 соответствии с ведомостью объемов работ (Приложение №2 к ТТ)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99"/>
        <w:numPr>
          <w:ilvl w:val="0"/>
          <w:numId w:val="0"/>
        </w:numPr>
        <w:ind w:left="1224"/>
      </w:pPr>
      <w:r/>
      <w:bookmarkStart w:id="14" w:name="_Toc51339696"/>
      <w:r/>
      <w:bookmarkStart w:id="15" w:name="_Toc54646407"/>
      <w:r/>
      <w:r/>
    </w:p>
    <w:p>
      <w:pPr>
        <w:pStyle w:val="999"/>
      </w:pPr>
      <w:r>
        <w:t xml:space="preserve">Требования </w:t>
      </w:r>
      <w:bookmarkEnd w:id="14"/>
      <w:r>
        <w:t xml:space="preserve">к срокам выполнения работ</w:t>
      </w:r>
      <w:bookmarkEnd w:id="15"/>
      <w:r/>
      <w:r/>
    </w:p>
    <w:p>
      <w:pPr>
        <w:pStyle w:val="997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6" w:name="_Toc50125127"/>
      <w:r/>
      <w:bookmarkStart w:id="17" w:name="_Toc51339697"/>
      <w:r/>
      <w:bookmarkStart w:id="18" w:name="_Toc54646408"/>
      <w:r>
        <w:rPr>
          <w:sz w:val="24"/>
          <w:szCs w:val="24"/>
        </w:rPr>
        <w:t xml:space="preserve">Таблица 3. </w:t>
      </w:r>
      <w:bookmarkStart w:id="19" w:name="_Hlk50465284"/>
      <w:r>
        <w:rPr>
          <w:sz w:val="24"/>
          <w:szCs w:val="24"/>
        </w:rPr>
        <w:t xml:space="preserve">Требования по срокам </w:t>
      </w:r>
      <w:bookmarkEnd w:id="16"/>
      <w:r/>
      <w:bookmarkEnd w:id="17"/>
      <w:r/>
      <w:bookmarkEnd w:id="19"/>
      <w:r>
        <w:rPr>
          <w:sz w:val="24"/>
          <w:szCs w:val="24"/>
        </w:rPr>
        <w:t xml:space="preserve">выполнения работ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552"/>
        <w:gridCol w:w="2977"/>
        <w:gridCol w:w="3260"/>
      </w:tblGrid>
      <w:tr>
        <w:tblPrEx/>
        <w:trPr/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окончанию срока выполнения работ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98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198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pStyle w:val="1196"/>
              <w:numPr>
                <w:ilvl w:val="0"/>
                <w:numId w:val="5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ОКПД2 33.11.12.000 Выполнение работ по текущему ремонту бака-аккумулятора горячей воды №2 Котельного цеха №2 Приморских тепловых сетей, г. Владивосток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 даты, следующей за датой заключения договора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30.11.2026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r>
        <w:rPr>
          <w:rFonts w:eastAsia="Calibri"/>
          <w:bCs/>
          <w:i/>
          <w:sz w:val="24"/>
          <w:szCs w:val="24"/>
        </w:rPr>
        <w:t xml:space="preserve">*дату начала производства работ на объекте письменно согласовать с Заказчиком.</w:t>
      </w:r>
      <w:r>
        <w:rPr>
          <w:rFonts w:eastAsia="Calibri"/>
          <w:bCs/>
          <w:i/>
          <w:sz w:val="24"/>
          <w:szCs w:val="24"/>
        </w:rPr>
      </w:r>
      <w:r/>
    </w:p>
    <w:p>
      <w:pPr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spacing w:after="160" w:line="259" w:lineRule="auto"/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851" w:right="850" w:bottom="1134" w:left="1276" w:header="426" w:footer="708" w:gutter="0"/>
          <w:cols w:num="1" w:sep="0" w:space="708" w:equalWidth="1"/>
          <w:docGrid w:linePitch="360"/>
        </w:sectPr>
      </w:pPr>
      <w:r/>
      <w:r/>
    </w:p>
    <w:p>
      <w:pPr>
        <w:pStyle w:val="1000"/>
      </w:pPr>
      <w:r>
        <w:t xml:space="preserve">Требования к качеству работ</w:t>
      </w:r>
      <w:r/>
    </w:p>
    <w:p>
      <w:pPr>
        <w:pStyle w:val="997"/>
        <w:numPr>
          <w:ilvl w:val="0"/>
          <w:numId w:val="0"/>
        </w:numPr>
        <w:keepLines/>
        <w:spacing w:before="240"/>
      </w:pPr>
      <w:r>
        <w:rPr>
          <w:sz w:val="24"/>
          <w:szCs w:val="24"/>
        </w:rPr>
        <w:t xml:space="preserve">Таблица 4. Требования к качеству работ </w:t>
      </w:r>
      <w:r/>
    </w:p>
    <w:tbl>
      <w:tblPr>
        <w:tblStyle w:val="1199"/>
        <w:tblW w:w="149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9"/>
        <w:gridCol w:w="2379"/>
        <w:gridCol w:w="7018"/>
        <w:gridCol w:w="2157"/>
        <w:gridCol w:w="2693"/>
      </w:tblGrid>
      <w:tr>
        <w:tblPrEx/>
        <w:trPr/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b/>
                <w:bCs/>
                <w:sz w:val="20"/>
                <w:szCs w:val="20"/>
              </w:rPr>
              <w:t xml:space="preserve">№ п/п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23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Наименование параметра</w:t>
            </w:r>
            <w:r/>
          </w:p>
        </w:tc>
        <w:tc>
          <w:tcPr>
            <w:tcW w:w="70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Требование заказчика</w:t>
            </w:r>
            <w:r/>
          </w:p>
        </w:tc>
        <w:tc>
          <w:tcPr>
            <w:gridSpan w:val="2"/>
            <w:tcW w:w="4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Способ подтверждения участником соответствия требованиям</w:t>
            </w:r>
            <w:r/>
          </w:p>
        </w:tc>
      </w:tr>
      <w:tr>
        <w:tblPrEx/>
        <w:trPr/>
        <w:tc>
          <w:tcPr>
            <w:tcW w:w="73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7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0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5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Согласие с требованием/ указание характеристик</w:t>
            </w:r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Предоставление подтверждающего документа или иной способ подтверждения</w:t>
            </w:r>
            <w:r/>
          </w:p>
        </w:tc>
      </w:tr>
      <w:tr>
        <w:tblPrEx/>
        <w:trPr>
          <w:trHeight w:val="320"/>
        </w:trPr>
        <w:tc>
          <w:tcPr>
            <w:tcW w:w="739" w:type="dxa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  <w:sz w:val="20"/>
                <w:szCs w:val="20"/>
              </w:rPr>
              <w:t xml:space="preserve">1</w:t>
            </w:r>
            <w:r/>
          </w:p>
        </w:tc>
        <w:tc>
          <w:tcPr>
            <w:tcW w:w="2379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701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474"/>
        </w:trPr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rPr>
                <w:bCs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выполнению работ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Согласие с требованием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spacing w:before="60" w:after="60"/>
              <w:rPr>
                <w:bCs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Общие требования к выполнению работ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379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7018" w:type="dxa"/>
            <w:textDirection w:val="lrTb"/>
            <w:noWrap w:val="false"/>
          </w:tcPr>
          <w:p>
            <w:pPr>
              <w:pStyle w:val="1196"/>
              <w:ind w:left="0" w:firstLine="206"/>
              <w:jc w:val="both"/>
              <w:tabs>
                <w:tab w:val="left" w:pos="182" w:leader="none"/>
                <w:tab w:val="left" w:pos="41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 выполнении работ подрядчик должен руководствоваться </w:t>
            </w:r>
            <w:r>
              <w:rPr>
                <w:sz w:val="22"/>
                <w:szCs w:val="22"/>
                <w:highlight w:val="white"/>
              </w:rPr>
              <w:t xml:space="preserve">следующими национальными, отраслевыми и корпоративными нормативно-техническими документами (НТД):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100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</w:t>
            </w:r>
            <w:r>
              <w:rPr>
                <w:sz w:val="22"/>
                <w:szCs w:val="22"/>
                <w:highlight w:val="white"/>
              </w:rPr>
              <w:t xml:space="preserve">ила организации технического обслуживания и ремонта объектов электроэнергетики (приказ МинЭнерго России от 25.10.2017 №1013);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00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Правила технической эксплуатации электрических станций и сетей Российской Федерации</w:t>
            </w:r>
            <w:r>
              <w:rPr>
                <w:sz w:val="22"/>
                <w:szCs w:val="22"/>
                <w:highlight w:val="white"/>
              </w:rPr>
              <w:t xml:space="preserve"> (</w:t>
            </w:r>
            <w:r>
              <w:rPr>
                <w:sz w:val="22"/>
                <w:szCs w:val="22"/>
                <w:highlight w:val="white"/>
              </w:rPr>
              <w:t xml:space="preserve">приказ МинЭнерго России от 04.10.2022 №10</w:t>
            </w:r>
            <w:r>
              <w:rPr>
                <w:sz w:val="22"/>
                <w:szCs w:val="22"/>
                <w:highlight w:val="white"/>
              </w:rPr>
              <w:t xml:space="preserve">7</w:t>
            </w:r>
            <w:r>
              <w:rPr>
                <w:sz w:val="22"/>
                <w:szCs w:val="22"/>
                <w:highlight w:val="white"/>
              </w:rPr>
              <w:t xml:space="preserve">0</w:t>
            </w:r>
            <w:r>
              <w:rPr>
                <w:sz w:val="22"/>
                <w:szCs w:val="22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22"/>
              </w:numPr>
              <w:ind w:left="0" w:firstLine="709"/>
              <w:jc w:val="both"/>
              <w:spacing w:line="240" w:lineRule="auto"/>
              <w:tabs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Методические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28.10.2024 №762) (Приложение №5 к ТТ)</w:t>
            </w:r>
            <w:r>
              <w:rPr>
                <w:sz w:val="22"/>
                <w:szCs w:val="22"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126"/>
              </w:numPr>
              <w:ind w:left="0" w:firstLine="709"/>
              <w:jc w:val="both"/>
              <w:tabs>
                <w:tab w:val="left" w:pos="850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Правила технической эксплуатации электрических станций и сетей Российской Федерации (утв. приказом Минэнерго РФ от 04.10.2022 №107</w:t>
            </w:r>
            <w:r>
              <w:rPr>
                <w:sz w:val="22"/>
                <w:szCs w:val="22"/>
                <w:highlight w:val="white"/>
              </w:rPr>
              <w:t xml:space="preserve">0);</w:t>
            </w:r>
            <w:r>
              <w:rPr>
                <w:sz w:val="22"/>
                <w:szCs w:val="22"/>
                <w:highlight w:val="none"/>
              </w:rPr>
            </w:r>
            <w:r/>
          </w:p>
          <w:p>
            <w:pPr>
              <w:pStyle w:val="1196"/>
              <w:numPr>
                <w:ilvl w:val="0"/>
                <w:numId w:val="105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21-002-2019 «Положение об организации и выполнению технического обслуживания и ремонта оборудования АО «ДГК»;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05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СП 16.13330.2017 «Стальные конструкции» ред. от 31.05.2022;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23"/>
              </w:numPr>
              <w:ind w:left="0" w:firstLine="709"/>
              <w:jc w:val="both"/>
              <w:spacing w:line="240" w:lineRule="auto"/>
              <w:tabs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-РД 153-34.1-40.504-00 Методические указания по оптимальной защите баков-аккумуляторов от коррозии и воды в них от аэрации (утв. РАО «ЕЭС России» от 18.07.2000);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123"/>
              </w:numPr>
              <w:ind w:left="0" w:firstLine="709"/>
              <w:jc w:val="both"/>
              <w:spacing w:line="240" w:lineRule="auto"/>
              <w:tabs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–СП 70.13330.2012 Конструкции несущие и ограждающие капитальные.  (Актуализированная редакция СНиП 3.03.01-1987 ред. от 30.12.2020);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124"/>
              </w:numPr>
              <w:ind w:left="0" w:firstLine="709"/>
              <w:jc w:val="both"/>
              <w:spacing w:line="240" w:lineRule="auto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РД 34.40.601-97 Методические указания по обследованию баков аккумуляторов горячей воды (утв. Департаментом стратегии развития и научно-технической политики РАО «ЕЭС России» от 17.01.1997);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24"/>
              </w:numPr>
              <w:ind w:left="0" w:firstLine="709"/>
              <w:jc w:val="both"/>
              <w:spacing w:line="240" w:lineRule="auto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МДК 4-04.2002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 - 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повая инструкция по технической эксплуатации баков-аккумуляторов горячей воды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24"/>
              </w:numPr>
              <w:ind w:left="0" w:firstLine="709"/>
              <w:jc w:val="both"/>
              <w:spacing w:line="240" w:lineRule="auto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РД 34.03.201-97 </w:t>
            </w:r>
            <w:r>
              <w:rPr>
                <w:sz w:val="22"/>
                <w:szCs w:val="22"/>
                <w:highlight w:val="white"/>
              </w:rPr>
              <w:t xml:space="preserve">Правила техники безопасности при эксплуатации тепломеханического оборудования эл</w:t>
            </w:r>
            <w:r>
              <w:rPr>
                <w:sz w:val="22"/>
                <w:szCs w:val="22"/>
                <w:highlight w:val="white"/>
              </w:rPr>
              <w:t xml:space="preserve">ектростанций и тепловых сетей</w:t>
            </w:r>
            <w:r>
              <w:rPr>
                <w:sz w:val="22"/>
                <w:szCs w:val="22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05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</w:t>
            </w:r>
            <w:r>
              <w:rPr>
                <w:bCs/>
                <w:sz w:val="22"/>
                <w:szCs w:val="22"/>
                <w:highlight w:val="white"/>
              </w:rPr>
              <w:t xml:space="preserve">П 28.13330</w:t>
            </w:r>
            <w:r>
              <w:rPr>
                <w:bCs/>
                <w:sz w:val="22"/>
                <w:szCs w:val="22"/>
                <w:highlight w:val="white"/>
              </w:rPr>
              <w:t xml:space="preserve">.2017 </w:t>
            </w:r>
            <w:r>
              <w:rPr>
                <w:bCs/>
                <w:sz w:val="22"/>
                <w:szCs w:val="22"/>
                <w:highlight w:val="white"/>
              </w:rPr>
              <w:t xml:space="preserve">— Свод правил «Защита строите</w:t>
            </w:r>
            <w:r>
              <w:rPr>
                <w:bCs/>
                <w:sz w:val="22"/>
                <w:szCs w:val="22"/>
                <w:highlight w:val="white"/>
              </w:rPr>
              <w:t xml:space="preserve">льных конструкций от коррозии», актуализированная редакция СНиП 2.03.11-85</w:t>
            </w:r>
            <w:r>
              <w:rPr>
                <w:bCs/>
                <w:sz w:val="22"/>
                <w:szCs w:val="22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05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  <w:t xml:space="preserve">СП 72.13330.2016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«Защита строительных конструкций и сооружений от коррозии»;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05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СП 68.13330.2017 «Приемка в эксплуатацию законченных строительством объектов» ред. от 10.12.2019;</w:t>
            </w:r>
            <w:r>
              <w:rPr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01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СНиП 12-01-2004 (СП 48.13330.</w:t>
            </w:r>
            <w:r>
              <w:rPr>
                <w:sz w:val="22"/>
                <w:szCs w:val="22"/>
                <w:highlight w:val="white"/>
              </w:rPr>
              <w:t xml:space="preserve">2019) «Свод правил. Организация строительства»;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01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highlight w:val="white"/>
              </w:rPr>
              <w:t xml:space="preserve">РД 153-34.1-003—01 «Сварка, термообработка и контроль трубных систем котлов и трубопроводов при монтаже и ремонте энергетического оборудования» (</w:t>
            </w:r>
            <w:r>
              <w:rPr>
                <w:highlight w:val="white"/>
                <w:lang w:val="en-US"/>
              </w:rPr>
              <w:t xml:space="preserve">PTM</w:t>
            </w:r>
            <w:r>
              <w:rPr>
                <w:highlight w:val="white"/>
              </w:rPr>
              <w:t xml:space="preserve">-</w:t>
            </w:r>
            <w:r>
              <w:rPr>
                <w:highlight w:val="white"/>
                <w:lang w:val="en-US"/>
              </w:rPr>
              <w:t xml:space="preserve">lc</w:t>
            </w:r>
            <w:r>
              <w:rPr>
                <w:highlight w:val="white"/>
              </w:rPr>
              <w:t xml:space="preserve">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103"/>
              </w:numPr>
              <w:ind w:left="0" w:firstLine="709"/>
              <w:jc w:val="both"/>
              <w:tabs>
                <w:tab w:val="left" w:pos="850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Технические условия, </w:t>
            </w:r>
            <w:r>
              <w:rPr>
                <w:sz w:val="22"/>
                <w:szCs w:val="22"/>
                <w:highlight w:val="white"/>
              </w:rPr>
              <w:t xml:space="preserve">технологические карты и проек</w:t>
            </w:r>
            <w:r>
              <w:rPr>
                <w:sz w:val="22"/>
                <w:szCs w:val="22"/>
                <w:highlight w:val="white"/>
              </w:rPr>
              <w:t xml:space="preserve">ты производства работ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ind w:left="0"/>
              <w:jc w:val="both"/>
              <w:tabs>
                <w:tab w:val="left" w:pos="256" w:leader="none"/>
              </w:tabs>
              <w:rPr>
                <w:rFonts w:eastAsia="Times New Roman"/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В случае, если какой-либо из указанных нормативных док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ументов был отменен в связи с выпуском новой редакции стандарта в процессе проведения закупки и/и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ли исполнения Договора, то необходимо применять нормативный документ, принятый в его развитие.</w:t>
            </w:r>
            <w:r>
              <w:rPr>
                <w:rFonts w:eastAsia="Times New Roman"/>
                <w:bCs/>
                <w:i/>
                <w:sz w:val="22"/>
                <w:szCs w:val="22"/>
                <w:highlight w:val="white"/>
              </w:rPr>
            </w:r>
            <w:r>
              <w:rPr>
                <w:rFonts w:eastAsia="Times New Roman"/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8"/>
        </w:trPr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1"/>
                <w:numId w:val="17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spacing w:before="60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организации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организации процесса выполнения работ: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             </w:t>
            </w:r>
            <w:r>
              <w:rPr>
                <w:bCs/>
                <w:sz w:val="22"/>
                <w:szCs w:val="22"/>
                <w:highlight w:val="white"/>
              </w:rPr>
              <w:t xml:space="preserve">Комплекс организационно–технических мероприятий, выполняемый при подготовке к ремонту, должен обеспеч</w:t>
            </w:r>
            <w:r>
              <w:rPr>
                <w:bCs/>
                <w:sz w:val="22"/>
                <w:szCs w:val="22"/>
                <w:highlight w:val="white"/>
              </w:rPr>
              <w:t xml:space="preserve">ивать планомерное и качественное выполнение ремонтных работ в установленные сроки, качество ремонтных работ и отремонтированного объекта</w:t>
            </w:r>
            <w:r>
              <w:rPr>
                <w:bCs/>
                <w:sz w:val="22"/>
                <w:szCs w:val="22"/>
                <w:highlight w:val="white"/>
              </w:rPr>
              <w:t xml:space="preserve">, оптимальное расходование материально-технических и трудовые ресурсов. Подрядчик</w:t>
            </w:r>
            <w:r>
              <w:rPr>
                <w:bCs/>
                <w:sz w:val="22"/>
                <w:szCs w:val="22"/>
                <w:highlight w:val="white"/>
              </w:rPr>
              <w:t xml:space="preserve"> разрабатывает план подготовки к ремонт</w:t>
            </w:r>
            <w:r>
              <w:rPr>
                <w:bCs/>
                <w:sz w:val="22"/>
                <w:szCs w:val="22"/>
                <w:highlight w:val="white"/>
              </w:rPr>
              <w:t xml:space="preserve">у в соответствии с планами производственных объектов, принятым к исполнению объемом работ и согласованным участием в материально–техническом обеспечении ремонтных работ.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              </w:t>
            </w:r>
            <w:r>
              <w:rPr>
                <w:bCs/>
                <w:sz w:val="22"/>
                <w:szCs w:val="22"/>
                <w:highlight w:val="white"/>
              </w:rPr>
              <w:t xml:space="preserve">Изменения объема работ, предусмотренного ведомостью планируемых работ, оформляются в с</w:t>
            </w:r>
            <w:r>
              <w:rPr>
                <w:bCs/>
                <w:sz w:val="22"/>
                <w:szCs w:val="22"/>
                <w:highlight w:val="white"/>
              </w:rPr>
              <w:t xml:space="preserve">оответствии с требованиями Правил ТОиР (ведомостью дополнительных работ по ремонту и протоколом исключения работ из ведомости планируемых работ по </w:t>
            </w:r>
            <w:r>
              <w:rPr>
                <w:bCs/>
                <w:sz w:val="22"/>
                <w:szCs w:val="22"/>
                <w:highlight w:val="white"/>
              </w:rPr>
              <w:t xml:space="preserve">ремонту), согласовываются с Подрядчиком и утверждаются техническим руководителем структурного подразделения, </w:t>
            </w:r>
            <w:r>
              <w:rPr>
                <w:bCs/>
                <w:sz w:val="22"/>
                <w:szCs w:val="22"/>
                <w:highlight w:val="white"/>
              </w:rPr>
              <w:t xml:space="preserve">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</w:t>
            </w:r>
            <w:r>
              <w:rPr>
                <w:bCs/>
                <w:sz w:val="22"/>
                <w:szCs w:val="22"/>
                <w:highlight w:val="white"/>
              </w:rPr>
              <w:t xml:space="preserve">говора.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До начала ремонта Подрядчик: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проводит проверку выполнения подготовительных работ в соответствии с планом подготовки к ремонту;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</w:r>
            <w:r>
              <w:rPr>
                <w:sz w:val="22"/>
                <w:szCs w:val="22"/>
                <w:highlight w:val="white"/>
              </w:rPr>
              <w:tab/>
              <w:t xml:space="preserve">определяет состав бригад (участков) по численности, квалификации и профессиям в соответствии </w:t>
            </w:r>
            <w:r>
              <w:rPr>
                <w:sz w:val="22"/>
                <w:szCs w:val="22"/>
                <w:highlight w:val="white"/>
              </w:rPr>
              <w:t xml:space="preserve">с графиком ремонта.</w:t>
            </w:r>
            <w:r>
              <w:rPr>
                <w:sz w:val="22"/>
                <w:szCs w:val="22"/>
                <w:highlight w:val="white"/>
              </w:rPr>
              <w:t xml:space="preserve"> При этом должна быть обеспечена полная занятость рабочих в течение установленных графиком сроков производства р</w:t>
            </w:r>
            <w:r>
              <w:rPr>
                <w:sz w:val="22"/>
                <w:szCs w:val="22"/>
                <w:highlight w:val="white"/>
              </w:rPr>
              <w:t xml:space="preserve">абот;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назначает руководителей работ по ремонту отдельных видов работ в соответствии с номенклатурой и объемом работ, принятым по договору;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проверяет удостоверения </w:t>
            </w:r>
            <w:r>
              <w:rPr>
                <w:sz w:val="22"/>
                <w:szCs w:val="22"/>
                <w:highlight w:val="white"/>
              </w:rPr>
              <w:t xml:space="preserve">сварщиков, стропальщиков, крановщиков и лиц других специальностей на право выполнения работ при ремонте</w:t>
            </w:r>
            <w:r>
              <w:rPr>
                <w:sz w:val="22"/>
                <w:szCs w:val="22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проверяет выполнение требований допуска ремонтного персонала, предусмотренного п. 1.2.2 Технического задания;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</w:r>
            <w:r>
              <w:rPr>
                <w:sz w:val="22"/>
                <w:szCs w:val="22"/>
                <w:highlight w:val="white"/>
              </w:rPr>
              <w:t xml:space="preserve">разрабатывают и предоставляют Заказчику на согласование ППР с указанием методов и технологии выполнения работ, организационные вопросы, мероприятия по технике безопасности и охране труда;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alibri"/>
                <w:sz w:val="22"/>
                <w:szCs w:val="22"/>
                <w:highlight w:val="none"/>
              </w:rPr>
            </w:pP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ществляют входной контроль качества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ки, приспособлений и инструме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нта).</w:t>
            </w: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Более подробно требования к организации работ указаны в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Организационно-технические мероприятия по допуску </w:t>
            </w:r>
            <w:r>
              <w:rPr>
                <w:sz w:val="22"/>
                <w:szCs w:val="22"/>
                <w:highlight w:val="white"/>
              </w:rPr>
              <w:t xml:space="preserve">персонала подрядчика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sz w:val="22"/>
                <w:szCs w:val="22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25"/>
              </w:numPr>
              <w:ind w:left="0" w:firstLine="360"/>
              <w:jc w:val="both"/>
              <w:tabs>
                <w:tab w:val="left" w:pos="406" w:leader="none"/>
                <w:tab w:val="left" w:pos="709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Положением о допуске персонала подрядных организаций к </w:t>
            </w:r>
            <w:r>
              <w:rPr>
                <w:bCs/>
                <w:sz w:val="22"/>
                <w:szCs w:val="22"/>
                <w:highlight w:val="white"/>
              </w:rPr>
              <w:t xml:space="preserve">выполнению работ на объектах АО «ДГК» №22</w:t>
            </w:r>
            <w:r>
              <w:rPr>
                <w:bCs/>
                <w:sz w:val="22"/>
                <w:szCs w:val="22"/>
                <w:highlight w:val="white"/>
              </w:rPr>
              <w:t xml:space="preserve">.1-504-2025 (утверждено приказом АО «ДГК» №П-ДГК/795 от 25.09.2025) (Приложение №5</w:t>
            </w:r>
            <w:r>
              <w:rPr>
                <w:bCs/>
                <w:sz w:val="22"/>
                <w:szCs w:val="22"/>
                <w:highlight w:val="white"/>
              </w:rPr>
              <w:t xml:space="preserve"> к ТТ).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25"/>
              </w:numPr>
              <w:ind w:left="0" w:firstLine="360"/>
              <w:jc w:val="both"/>
              <w:tabs>
                <w:tab w:val="left" w:pos="406" w:leader="none"/>
                <w:tab w:val="left" w:pos="709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rFonts w:eastAsia="Geneva"/>
                <w:sz w:val="22"/>
                <w:szCs w:val="22"/>
                <w:highlight w:val="white"/>
                <w:lang w:bidi="ru-RU"/>
              </w:rPr>
              <w:t xml:space="preserve">Инструкцией о пропускном и внутриобъектовом режимах на объектах СП Приморские тепловые сети АО «ДГК»</w:t>
            </w:r>
            <w:r>
              <w:rPr>
                <w:bCs/>
                <w:sz w:val="22"/>
                <w:szCs w:val="22"/>
                <w:highlight w:val="white"/>
              </w:rPr>
              <w:t xml:space="preserve"> (Прилож</w:t>
            </w:r>
            <w:r>
              <w:rPr>
                <w:bCs/>
                <w:sz w:val="22"/>
                <w:szCs w:val="22"/>
                <w:highlight w:val="white"/>
              </w:rPr>
              <w:t xml:space="preserve">ение №5 </w:t>
            </w:r>
            <w:r>
              <w:rPr>
                <w:bCs/>
                <w:sz w:val="22"/>
                <w:szCs w:val="22"/>
                <w:highlight w:val="white"/>
              </w:rPr>
              <w:t xml:space="preserve">к ТТ); с обязательным оформлением необходимых нарядов-до</w:t>
            </w:r>
            <w:r>
              <w:rPr>
                <w:bCs/>
                <w:sz w:val="22"/>
                <w:szCs w:val="22"/>
                <w:highlight w:val="white"/>
              </w:rPr>
              <w:t xml:space="preserve">пусков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используемым материалам, </w:t>
            </w:r>
            <w:r>
              <w:rPr>
                <w:b/>
                <w:sz w:val="22"/>
                <w:szCs w:val="22"/>
                <w:highlight w:val="white"/>
              </w:rPr>
              <w:t xml:space="preserve">контролю качества работ и материалов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91"/>
        </w:trPr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используемым материально – техническим ресурсам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textDirection w:val="lrTb"/>
            <w:noWrap w:val="false"/>
          </w:tcPr>
          <w:p>
            <w:pPr>
              <w:contextualSpacing/>
              <w:jc w:val="both"/>
              <w:rPr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         </w:t>
            </w:r>
            <w:r>
              <w:rPr>
                <w:sz w:val="22"/>
                <w:szCs w:val="22"/>
                <w:highlight w:val="white"/>
              </w:rPr>
              <w:t xml:space="preserve">Материалы, необходимые для выполнения работ приобретаются Подрядчиком.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60"/>
              </w:numPr>
              <w:ind w:left="35"/>
              <w:jc w:val="both"/>
              <w:tabs>
                <w:tab w:val="left" w:pos="406" w:leader="none"/>
              </w:tabs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2"/>
                <w:highlight w:val="white"/>
              </w:rPr>
              <w:t xml:space="preserve">         </w:t>
            </w:r>
            <w:r>
              <w:rPr>
                <w:bCs/>
                <w:sz w:val="22"/>
                <w:highlight w:val="white"/>
              </w:rPr>
              <w:t xml:space="preserve">Материалы, приобретаемые Подрядчиком, согласно Приложению №3 к ТТ, должны быть новыми и ранее не использованными, без повреждений.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ind w:left="62" w:firstLine="284"/>
              <w:jc w:val="both"/>
              <w:tabs>
                <w:tab w:val="left" w:pos="62" w:leader="none"/>
              </w:tabs>
              <w:rPr>
                <w:bCs/>
                <w:sz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2"/>
                <w:highlight w:val="white"/>
              </w:rPr>
              <w:t xml:space="preserve">Подрядчиком в работе может быть применена эквивалентная продукция*, предварительно согласованная</w:t>
            </w:r>
            <w:r>
              <w:rPr>
                <w:bCs/>
                <w:sz w:val="22"/>
                <w:highlight w:val="white"/>
              </w:rPr>
              <w:t xml:space="preserve"> с Заказчиком.</w:t>
            </w:r>
            <w:r>
              <w:rPr>
                <w:bCs/>
                <w:sz w:val="22"/>
                <w:highlight w:val="white"/>
              </w:rPr>
            </w:r>
            <w:r>
              <w:rPr>
                <w:bCs/>
                <w:sz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73"/>
              </w:numPr>
              <w:ind w:left="35"/>
              <w:jc w:val="both"/>
              <w:tabs>
                <w:tab w:val="left" w:pos="406" w:leader="none"/>
              </w:tabs>
              <w:rPr>
                <w:bCs/>
                <w:sz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2"/>
                <w:highlight w:val="white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      </w:r>
            <w:r>
              <w:rPr>
                <w:bCs/>
                <w:sz w:val="22"/>
                <w:highlight w:val="white"/>
              </w:rPr>
      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bCs/>
                <w:sz w:val="22"/>
                <w:highlight w:val="white"/>
              </w:rPr>
            </w:r>
            <w:r>
              <w:rPr>
                <w:bCs/>
                <w:sz w:val="22"/>
                <w:highlight w:val="white"/>
              </w:rPr>
            </w:r>
          </w:p>
          <w:p>
            <w:pPr>
              <w:numPr>
                <w:ilvl w:val="0"/>
                <w:numId w:val="73"/>
              </w:numPr>
              <w:contextualSpacing/>
              <w:ind w:left="35"/>
              <w:jc w:val="both"/>
              <w:spacing w:after="60"/>
              <w:tabs>
                <w:tab w:val="left" w:pos="40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3"/>
        </w:trPr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Контроль качества используемых материалов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jc w:val="both"/>
              <w:spacing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        Руководители работ подрядных организаций, совместно с представителями Заказчика, осуществляют входной контроль качества применяемых материалов.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        </w:t>
            </w:r>
            <w:r>
              <w:rPr>
                <w:sz w:val="22"/>
                <w:szCs w:val="22"/>
                <w:highlight w:val="white"/>
              </w:rPr>
              <w:t xml:space="preserve">Материалы Подрядчика должны иметь сертификаты, паспорта и другие документы, подтверждающие их качество.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        При ос</w:t>
            </w:r>
            <w:r>
              <w:rPr>
                <w:sz w:val="22"/>
                <w:szCs w:val="22"/>
                <w:highlight w:val="white"/>
              </w:rPr>
              <w:t xml:space="preserve">уществлении Подрядчиком входного контроля качества материально-технических ресурсов, поступивших на место производства работ, обязательно наличие и ведение журнала входного учета и контроля качества получаемых материалов. Отсутствие записи </w:t>
            </w:r>
            <w:r>
              <w:rPr>
                <w:sz w:val="22"/>
                <w:szCs w:val="22"/>
                <w:highlight w:val="white"/>
              </w:rPr>
              <w:t xml:space="preserve">о приемке матери</w:t>
            </w:r>
            <w:r>
              <w:rPr>
                <w:sz w:val="22"/>
                <w:szCs w:val="22"/>
                <w:highlight w:val="white"/>
              </w:rPr>
              <w:t xml:space="preserve">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         </w:t>
            </w:r>
            <w:r>
              <w:rPr>
                <w:i/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</w:t>
            </w:r>
            <w:r>
              <w:rPr>
                <w:i/>
                <w:sz w:val="22"/>
                <w:szCs w:val="22"/>
                <w:highlight w:val="white"/>
              </w:rPr>
              <w:t xml:space="preserve"> Документации о закупке</w:t>
            </w:r>
            <w:r>
              <w:rPr>
                <w:i/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61"/>
        </w:trPr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Контроль качества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jc w:val="both"/>
              <w:spacing w:after="60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        </w:t>
            </w:r>
            <w:r>
              <w:rPr>
                <w:sz w:val="22"/>
                <w:szCs w:val="22"/>
                <w:highlight w:val="whit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 соответствии с законом № 184-ФЗ «О техническом регулировании» Подрядчик принимает на себя добровольное обязательство о соблюдении требований правил, технических условий, ГОСТ, ПЭУ и других нормативных технических документов, действующих на момент заключен</w:t>
            </w:r>
            <w:r>
              <w:rPr>
                <w:sz w:val="22"/>
                <w:szCs w:val="22"/>
                <w:highlight w:val="white"/>
              </w:rPr>
              <w:t xml:space="preserve">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spacing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        Р</w:t>
            </w:r>
            <w:r>
              <w:rPr>
                <w:sz w:val="22"/>
                <w:szCs w:val="22"/>
                <w:highlight w:val="white"/>
              </w:rPr>
              <w:t xml:space="preserve">уководители работ Подрядчика, участвующие в производстве Работ,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</w:t>
            </w:r>
            <w:r>
              <w:rPr>
                <w:sz w:val="22"/>
                <w:szCs w:val="22"/>
                <w:highlight w:val="white"/>
              </w:rPr>
              <w:t xml:space="preserve">настки, приспособлений и инструмента).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58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96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персоналу подрядчика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2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1.4.1.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ind w:left="0" w:right="0" w:firstLine="283"/>
              <w:jc w:val="both"/>
              <w:widowControl w:val="off"/>
              <w:tabs>
                <w:tab w:val="left" w:pos="567" w:leader="none"/>
                <w:tab w:val="left" w:pos="3685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одрядчик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</w:t>
            </w:r>
            <w:r>
              <w:rPr>
                <w:sz w:val="22"/>
                <w:szCs w:val="22"/>
                <w:highlight w:val="white"/>
              </w:rPr>
              <w:t xml:space="preserve">уемого к привлечению, в том числе по договорам субподряда).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67" w:leader="none"/>
                <w:tab w:val="left" w:pos="3685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67" w:leader="none"/>
                <w:tab w:val="left" w:pos="3685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</w:r>
            <w:r>
              <w:rPr>
                <w:sz w:val="22"/>
                <w:szCs w:val="22"/>
                <w:highlight w:val="white"/>
              </w:rPr>
              <w:tab/>
              <w:t xml:space="preserve">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электросварочных, грузоподъемных, работ с электро- и пневмоинструме</w:t>
            </w:r>
            <w:r>
              <w:rPr>
                <w:sz w:val="22"/>
                <w:szCs w:val="22"/>
                <w:highlight w:val="white"/>
              </w:rPr>
              <w:t xml:space="preserve">нтом) (возможно совмещение специальностей);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67" w:leader="none"/>
                <w:tab w:val="left" w:pos="3685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-другую документацию согласно видам работ.</w:t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379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Требования к безопасности выполняемых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textDirection w:val="lrTb"/>
            <w:noWrap w:val="false"/>
          </w:tcPr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Меры </w:t>
            </w:r>
            <w:r>
              <w:rPr>
                <w:sz w:val="22"/>
                <w:szCs w:val="22"/>
                <w:highlight w:val="white"/>
              </w:rPr>
              <w:t xml:space="preserve">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Федеральные нормы и правила в области промышленной безопасности "Правила безопасного ведения газоопасных, огневых и ремонтных работ (Зарегистрировано в Минюсте России 28.12.2020 N 61847);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–</w:t>
              <w:tab/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line="233" w:lineRule="auto"/>
              <w:widowControl w:val="off"/>
              <w:tabs>
                <w:tab w:val="left" w:pos="426" w:leader="none"/>
              </w:tabs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  <w:outlineLvl w:val="2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пожарной безопасности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29"/>
              </w:numPr>
              <w:ind w:left="0" w:firstLine="0"/>
              <w:jc w:val="both"/>
              <w:spacing w:line="233" w:lineRule="auto"/>
              <w:shd w:val="clear" w:color="auto" w:fill="ffff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противопожарного режима в</w:t>
            </w:r>
            <w:r>
              <w:rPr>
                <w:sz w:val="22"/>
                <w:szCs w:val="22"/>
                <w:highlight w:val="white"/>
              </w:rPr>
              <w:t xml:space="preserve"> Российской Федерации, утверждены Постановлением Правительства РФ от 16.09.2020 № 1479;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29"/>
              </w:numPr>
              <w:ind w:left="0" w:firstLine="0"/>
              <w:jc w:val="both"/>
              <w:spacing w:line="233" w:lineRule="auto"/>
              <w:shd w:val="clear" w:color="auto" w:fill="ffff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Технический регламент о требованиях пожарной безопасности. №123-ФЗ от 22.07.2008;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29"/>
              </w:numPr>
              <w:ind w:left="0" w:firstLine="0"/>
              <w:jc w:val="both"/>
              <w:spacing w:line="233" w:lineRule="auto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ГОСТ 12.1.004-91* Система стандартов безопасности труда. Пожарная безопасность. Общие требования.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283"/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</w:t>
            </w:r>
            <w:r>
              <w:rPr>
                <w:sz w:val="22"/>
                <w:szCs w:val="22"/>
                <w:highlight w:val="white"/>
              </w:rPr>
              <w:t xml:space="preserve">, действующие на предприятии Заказчика.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ремонтной площадке и в местах производства работ.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я</w:t>
            </w:r>
            <w:r>
              <w:rPr>
                <w:sz w:val="22"/>
                <w:szCs w:val="22"/>
                <w:highlight w:val="white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ч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т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я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т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З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з</w:t>
            </w:r>
            <w:r>
              <w:rPr>
                <w:sz w:val="22"/>
                <w:szCs w:val="22"/>
                <w:highlight w:val="white"/>
              </w:rPr>
              <w:t xml:space="preserve">ч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у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ч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ы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е</w:t>
            </w:r>
            <w:r>
              <w:rPr>
                <w:sz w:val="22"/>
                <w:szCs w:val="22"/>
                <w:highlight w:val="white"/>
              </w:rPr>
              <w:t xml:space="preserve">н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я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б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т 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ю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и</w:t>
            </w:r>
            <w:r>
              <w:rPr>
                <w:sz w:val="22"/>
                <w:szCs w:val="22"/>
                <w:highlight w:val="white"/>
              </w:rPr>
              <w:t xml:space="preserve">к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з</w:t>
            </w: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назначении лиц, ответственных за соблюдением пожарной безопасности на объекте выполнения работ.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Персональную ответственность за обеспечение пож</w:t>
            </w:r>
            <w:r>
              <w:rPr>
                <w:sz w:val="22"/>
                <w:szCs w:val="22"/>
                <w:highlight w:val="white"/>
              </w:rPr>
              <w:t xml:space="preserve">арной безопасности несёт руководитель подрядной организации или лицо, его замещающее.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ind w:firstLine="283"/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Ремонтная площадка</w:t>
            </w:r>
            <w:r>
              <w:rPr>
                <w:sz w:val="22"/>
                <w:szCs w:val="22"/>
                <w:highlight w:val="white"/>
              </w:rPr>
              <w:t xml:space="preserve"> должна быть оснащена средствами пожаротушения.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ind w:left="0" w:firstLine="283"/>
              <w:jc w:val="both"/>
              <w:spacing w:line="233" w:lineRule="auto"/>
              <w:tabs>
                <w:tab w:val="left" w:pos="256" w:leader="none"/>
              </w:tabs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В случае, если какой-либо из указанных нормативных документов 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был отменен в связи с выпуском новой реда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line="233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Отходы, строительный мусор д</w:t>
            </w:r>
            <w:r>
              <w:rPr>
                <w:sz w:val="22"/>
                <w:szCs w:val="22"/>
                <w:highlight w:val="white"/>
              </w:rPr>
              <w:t xml:space="preserve">олжны своевременно вывозиться для дальнейшей утилизации.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ind w:right="37"/>
              <w:jc w:val="both"/>
              <w:spacing w:line="233" w:lineRule="auto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30"/>
              </w:numPr>
              <w:ind w:left="0" w:right="37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30"/>
              </w:numPr>
              <w:ind w:left="0" w:right="37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30"/>
              </w:numPr>
              <w:ind w:left="0" w:right="225" w:firstLine="0"/>
              <w:jc w:val="both"/>
              <w:spacing w:line="233" w:lineRule="auto"/>
              <w:widowControl w:val="off"/>
              <w:tabs>
                <w:tab w:val="left" w:pos="283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Водный кодекс Российской Федерации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ind w:left="0"/>
              <w:jc w:val="both"/>
              <w:spacing w:line="233" w:lineRule="auto"/>
              <w:tabs>
                <w:tab w:val="left" w:pos="256" w:leader="none"/>
              </w:tabs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96"/>
              <w:numPr>
                <w:ilvl w:val="2"/>
                <w:numId w:val="17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79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охраны труда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7018" w:type="dxa"/>
            <w:vMerge w:val="restart"/>
            <w:textDirection w:val="lrTb"/>
            <w:noWrap w:val="false"/>
          </w:tcPr>
          <w:p>
            <w:pPr>
              <w:ind w:firstLine="346"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346"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      </w:r>
            <w:r>
              <w:rPr>
                <w:iCs/>
                <w:sz w:val="22"/>
                <w:szCs w:val="22"/>
                <w:highlight w:val="white"/>
              </w:rPr>
              <w:t xml:space="preserve">внутриобъектового</w:t>
            </w:r>
            <w:r>
              <w:rPr>
                <w:iCs/>
                <w:sz w:val="22"/>
                <w:szCs w:val="22"/>
                <w:highlight w:val="white"/>
              </w:rPr>
              <w:t xml:space="preserve"> режима Заказчика.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346"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</w:t>
            </w:r>
            <w:r>
              <w:rPr>
                <w:iCs/>
                <w:sz w:val="22"/>
                <w:szCs w:val="22"/>
                <w:highlight w:val="white"/>
              </w:rPr>
              <w:t xml:space="preserve">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346"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283"/>
              <w:jc w:val="both"/>
              <w:spacing w:line="233" w:lineRule="auto"/>
              <w:widowControl w:val="off"/>
              <w:tabs>
                <w:tab w:val="left" w:pos="567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Меры по соблюдению требований охраны труда при выполнении работ обеспечива</w:t>
            </w:r>
            <w:r>
              <w:rPr>
                <w:sz w:val="22"/>
                <w:szCs w:val="22"/>
                <w:highlight w:val="white"/>
              </w:rPr>
              <w:t xml:space="preserve">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  <w:t xml:space="preserve">Правила</w:t>
            </w:r>
            <w:r>
              <w:rPr>
                <w:bCs/>
                <w:sz w:val="22"/>
                <w:szCs w:val="22"/>
                <w:highlight w:val="white"/>
              </w:rPr>
              <w:t xml:space="preserve"> по охране труда  при эксплуатации электроустановок, утвержденные Приказом Министерства труда и социальной защиты РФ от 15.12.2020 №903н (с изменениями на 29.04.2022г.);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работе на высоте (утверждены приказом Министерства труда от 16.11.2020 №782н)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56"/>
              </w:numPr>
              <w:ind w:left="142" w:right="0" w:firstLine="207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  <w:t xml:space="preserve">П</w:t>
            </w:r>
            <w:r>
              <w:rPr>
                <w:iCs/>
                <w:sz w:val="22"/>
                <w:szCs w:val="22"/>
                <w:highlight w:val="whit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709"/>
              <w:jc w:val="both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Все работники должны быть обеспечены спецодеждой, </w:t>
            </w:r>
            <w:r>
              <w:rPr>
                <w:sz w:val="22"/>
                <w:szCs w:val="22"/>
                <w:highlight w:val="white"/>
              </w:rPr>
              <w:t xml:space="preserve">спецобувью</w:t>
            </w:r>
            <w:r>
              <w:rPr>
                <w:sz w:val="22"/>
                <w:szCs w:val="22"/>
                <w:highlight w:val="white"/>
              </w:rPr>
              <w:t xml:space="preserve"> и другими </w:t>
            </w:r>
            <w:r>
              <w:rPr>
                <w:sz w:val="22"/>
                <w:szCs w:val="22"/>
                <w:highlight w:val="white"/>
              </w:rPr>
              <w:t xml:space="preserve">СИЗ</w:t>
            </w:r>
            <w:r>
              <w:rPr>
                <w:sz w:val="22"/>
                <w:szCs w:val="22"/>
                <w:highlight w:val="white"/>
              </w:rPr>
              <w:t xml:space="preserve"> в соответствии с типовыми отраслевыми нормами.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ind w:left="0"/>
              <w:jc w:val="both"/>
              <w:spacing w:line="233" w:lineRule="auto"/>
              <w:tabs>
                <w:tab w:val="left" w:pos="25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</w:t>
            </w:r>
            <w:r>
              <w:rPr>
                <w:i/>
                <w:sz w:val="22"/>
                <w:szCs w:val="22"/>
                <w:highlight w:val="white"/>
              </w:rPr>
              <w:t xml:space="preserve">закупки и/или исполнения Договора, то необходимо применять нормативный документ, принятый в его развитие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contextualSpacing/>
              <w:jc w:val="both"/>
              <w:spacing w:line="233" w:lineRule="auto"/>
              <w:tabs>
                <w:tab w:val="left" w:pos="572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Требования к результатам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18"/>
        </w:trPr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1196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</w:rPr>
              <w:t xml:space="preserve">бщие треб</w:t>
            </w:r>
            <w:r>
              <w:rPr>
                <w:b/>
                <w:sz w:val="22"/>
                <w:szCs w:val="22"/>
                <w:highlight w:val="white"/>
              </w:rPr>
              <w:t xml:space="preserve">ования к результатам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Состояние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бака-аккумулятора горячей воды №2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осле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ремонта должно соответствовать требованиям нормативно-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технической документации. 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1196"/>
              <w:numPr>
                <w:ilvl w:val="1"/>
                <w:numId w:val="17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Требования к порядку приемки результатов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1"/>
                <w:numId w:val="17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оформлению документации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283"/>
              <w:jc w:val="both"/>
              <w:spacing w:line="245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Представить Зак</w:t>
            </w:r>
            <w:r>
              <w:rPr>
                <w:sz w:val="22"/>
                <w:szCs w:val="22"/>
                <w:highlight w:val="white"/>
              </w:rPr>
              <w:t xml:space="preserve">азчику с актами выполненных работ (в 3 (трёх) экземплярах, а также электронные версии Акта КС-2 и Справки КС-3 в формате *gsfx ПК «ГРАНД Смета» на </w:t>
            </w:r>
            <w:r>
              <w:rPr>
                <w:sz w:val="22"/>
                <w:szCs w:val="22"/>
                <w:highlight w:val="white"/>
              </w:rPr>
              <w:t xml:space="preserve">цифровом носителе) исполнительную документацию в электронном виде (в формате *.pdf) и на бумажном носителе в </w:t>
            </w:r>
            <w:r>
              <w:rPr>
                <w:sz w:val="22"/>
                <w:szCs w:val="22"/>
                <w:highlight w:val="white"/>
              </w:rPr>
              <w:t xml:space="preserve">3-х экземплярах.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283"/>
              <w:jc w:val="both"/>
              <w:spacing w:line="245" w:lineRule="auto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35"/>
              </w:numPr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Приказом Министерства строительства и ЖКХ №344 от 16.05.2023 «С</w:t>
            </w:r>
            <w:r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 xml:space="preserve">остав и порядок ведения исполнительной документации при строительстве, реконструкции, капитальном ремонте о</w:t>
            </w:r>
            <w:r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 xml:space="preserve">бъектов капитального строительства»</w:t>
            </w: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35"/>
              </w:numPr>
              <w:ind w:left="0" w:firstLine="283"/>
              <w:jc w:val="both"/>
              <w:spacing w:line="245" w:lineRule="auto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г от 29.11.2019 АО «ДГК</w:t>
            </w: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»</w:t>
            </w:r>
            <w:r>
              <w:rPr>
                <w:rFonts w:eastAsia="Times New Roman"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sz w:val="22"/>
                <w:szCs w:val="22"/>
                <w:highlight w:val="white"/>
              </w:rPr>
              <w:t xml:space="preserve">(Приложение №</w:t>
            </w:r>
            <w:r>
              <w:rPr>
                <w:bCs/>
                <w:sz w:val="22"/>
                <w:szCs w:val="22"/>
                <w:highlight w:val="white"/>
              </w:rPr>
              <w:t xml:space="preserve">5</w:t>
            </w:r>
            <w:bookmarkStart w:id="34" w:name="_GoBack"/>
            <w:r>
              <w:rPr>
                <w:sz w:val="22"/>
                <w:szCs w:val="22"/>
                <w:highlight w:val="white"/>
              </w:rPr>
            </w:r>
            <w:bookmarkEnd w:id="34"/>
            <w:r>
              <w:rPr>
                <w:bCs/>
                <w:sz w:val="22"/>
                <w:szCs w:val="22"/>
                <w:highlight w:val="white"/>
              </w:rPr>
              <w:t xml:space="preserve"> к ТТ)</w:t>
            </w:r>
            <w:r>
              <w:rPr>
                <w:rFonts w:eastAsia="Iosevka Term SS03"/>
                <w:color w:val="000000" w:themeColor="text1"/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283"/>
              <w:jc w:val="both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Подрядчик обязан оформить и передать Заказчику исполнительную и сдаточную документацию в следующем составе, но не ограничиваясь</w:t>
            </w:r>
            <w:r>
              <w:rPr>
                <w:sz w:val="22"/>
                <w:szCs w:val="22"/>
                <w:highlight w:val="white"/>
              </w:rPr>
              <w:t xml:space="preserve">:</w:t>
            </w:r>
            <w:r>
              <w:rPr>
                <w:sz w:val="22"/>
                <w:szCs w:val="22"/>
                <w:highlight w:val="white"/>
              </w:rPr>
              <w:t xml:space="preserve">         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</w:t>
            </w:r>
            <w:r>
              <w:rPr>
                <w:sz w:val="24"/>
                <w:szCs w:val="24"/>
                <w:highlight w:val="white"/>
              </w:rPr>
              <w:t xml:space="preserve">ентации;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серти</w:t>
            </w:r>
            <w:r>
              <w:rPr>
                <w:sz w:val="24"/>
                <w:szCs w:val="24"/>
                <w:highlight w:val="white"/>
              </w:rPr>
              <w:t xml:space="preserve">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счета-фактуры на материалы, закупаемые Подрядчиком для использования в процессе ремонта;    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</w:t>
            </w:r>
            <w:r>
              <w:rPr>
                <w:sz w:val="24"/>
                <w:szCs w:val="24"/>
                <w:highlight w:val="white"/>
              </w:rPr>
              <w:t xml:space="preserve">ото, видео (при необходимости);</w:t>
            </w:r>
            <w:r>
              <w:rPr>
                <w:sz w:val="24"/>
                <w:szCs w:val="24"/>
                <w:highlight w:val="white"/>
              </w:rPr>
              <w:t xml:space="preserve">       </w:t>
            </w:r>
            <w:r>
              <w:rPr>
                <w:sz w:val="24"/>
                <w:szCs w:val="24"/>
                <w:highlight w:val="white"/>
              </w:rPr>
              <w:t xml:space="preserve">                                                                                   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исполнительные чертежи;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табель учета рабочего времени Подрядчика;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специальные журналы работ (соответствующие видам выполняемых работ)</w:t>
            </w:r>
            <w:r>
              <w:rPr>
                <w:sz w:val="24"/>
                <w:szCs w:val="24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eastAsia="en-US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кт освидетельст</w:t>
            </w:r>
            <w:r>
              <w:rPr>
                <w:sz w:val="24"/>
                <w:szCs w:val="24"/>
                <w:highlight w:val="white"/>
              </w:rPr>
              <w:t xml:space="preserve">вования скрытых работ;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contextualSpacing w:val="0"/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акт предремонтного обследования объекта;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ведомость </w:t>
            </w:r>
            <w:r>
              <w:rPr>
                <w:sz w:val="22"/>
                <w:szCs w:val="22"/>
                <w:highlight w:val="white"/>
              </w:rPr>
              <w:t xml:space="preserve">планируемых ремонтно-строительных работ</w:t>
            </w:r>
            <w:r>
              <w:rPr>
                <w:sz w:val="24"/>
                <w:szCs w:val="24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акт готовности производству ремонтных работ</w:t>
            </w:r>
            <w:r>
              <w:rPr>
                <w:sz w:val="24"/>
                <w:szCs w:val="24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акт приёмки из ремонта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 ведомость планируемых ремонтно-строительных работ;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журнал производства антикоррозионных работ;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кт приемки защитного покрытия;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акт замера толщины лакокрасочного покрытия;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  <w:tab w:val="left" w:pos="7456" w:leader="none"/>
              </w:tabs>
              <w:rPr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акт о проведении контроля герметичности сварных швов днища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вакуум-камерой)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ab/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96"/>
              <w:numPr>
                <w:ilvl w:val="0"/>
                <w:numId w:val="85"/>
              </w:numPr>
              <w:ind w:left="0" w:firstLine="709"/>
              <w:jc w:val="both"/>
              <w:spacing w:line="264" w:lineRule="auto"/>
              <w:shd w:val="clear" w:color="auto" w:fill="ffffff"/>
              <w:widowControl w:val="off"/>
              <w:tabs>
                <w:tab w:val="left" w:pos="992" w:leader="none"/>
              </w:tabs>
              <w:rPr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highlight w:val="white"/>
              </w:rPr>
              <w:t xml:space="preserve">акт о проведении гидравлического испытания;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030"/>
              <w:ind w:firstLine="709"/>
              <w:jc w:val="both"/>
              <w:spacing w:line="276" w:lineRule="auto"/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другие документы по усмотрению Сторон с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учетом специфики Работ.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spacing w:before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№2, Техническом задании), ко</w:t>
            </w:r>
            <w:r>
              <w:rPr>
                <w:i/>
                <w:sz w:val="22"/>
                <w:szCs w:val="22"/>
              </w:rPr>
              <w:t xml:space="preserve">торый включен в состав Документации о закупке.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 гарантиям подрядчика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eastAsia="Courier New"/>
                <w:i/>
                <w:color w:val="000000"/>
                <w:sz w:val="22"/>
                <w:szCs w:val="22"/>
                <w:lang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sz w:val="22"/>
                <w:szCs w:val="22"/>
                <w:lang w:bidi="ru-RU"/>
              </w:rPr>
              <w:t xml:space="preserve">(в том числе в разделах №6 и №7</w:t>
            </w:r>
            <w:r>
              <w:rPr>
                <w:rFonts w:eastAsia="Courier New"/>
                <w:i/>
                <w:color w:val="000000"/>
                <w:sz w:val="22"/>
                <w:szCs w:val="22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739" w:type="dxa"/>
            <w:textDirection w:val="lrTb"/>
            <w:noWrap w:val="false"/>
          </w:tcPr>
          <w:p>
            <w:pPr>
              <w:pStyle w:val="1196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textDirection w:val="lrTb"/>
            <w:noWrap w:val="false"/>
          </w:tcPr>
          <w:p>
            <w:pPr>
              <w:keepNext/>
              <w:spacing w:before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Требования к субподрядным организациям, привлекаемым к выполнению работ </w:t>
            </w:r>
            <w:r>
              <w:rPr>
                <w:i/>
                <w:sz w:val="22"/>
                <w:szCs w:val="22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1196"/>
              <w:numPr>
                <w:ilvl w:val="0"/>
                <w:numId w:val="17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15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49"/>
        </w:trPr>
        <w:tc>
          <w:tcPr>
            <w:gridSpan w:val="5"/>
            <w:tcW w:w="1498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11" w:tooltip="http://www.zakupki.gov.ru" w:history="1">
              <w:r>
                <w:rPr>
                  <w:rStyle w:val="1184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электронный адрес </w:t>
            </w:r>
            <w:hyperlink r:id="rId12" w:tooltip="mailto:Kulik-ANV@dgk.ru" w:history="1">
              <w:r>
                <w:rPr>
                  <w:rStyle w:val="1184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(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shevchenko-ko@dgk.ru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)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96"/>
              <w:ind w:left="0"/>
              <w:jc w:val="both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320"/>
        </w:trPr>
        <w:tc>
          <w:tcPr>
            <w:gridSpan w:val="3"/>
            <w:tcW w:w="1013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Согласно требования: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96"/>
              <w:numPr>
                <w:ilvl w:val="0"/>
                <w:numId w:val="118"/>
              </w:numPr>
              <w:contextualSpacing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 2464 «О порядке обучения по охране труда и проверки знаний требований охраны труда»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ind w:left="360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3 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прошедших проверку знаний требований охраны труда.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2)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п.13,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 14, п.15 Правил по охране труда при работе на высоте,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утвержденных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Министерством труда и социальной защиты Российской Федерации от 16.11.2020 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782Н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щ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ы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  <w:t xml:space="preserve">Тре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  <w:t xml:space="preserve">бования к материально техническим ресурсам Победителя: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  <w:t xml:space="preserve">3)  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Победитель должен иметь в наличии на законных основаниях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на правах собственности / аренды/ лизинга /ином законном праве использования, владения) минимальное количество транспортных средств, а именно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96"/>
              <w:numPr>
                <w:ilvl w:val="0"/>
                <w:numId w:val="135"/>
              </w:num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автомобиль-самосвал грузоподьемностью до 15 тонн (для перевозки грузов 1-го класса)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не менее 1 единицы;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96"/>
              <w:numPr>
                <w:ilvl w:val="0"/>
                <w:numId w:val="135"/>
              </w:num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 - краны на автомобильном ходу, грузоподъемность 16 тн. не менее 1 единицы.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gridSpan w:val="2"/>
            <w:tcW w:w="485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  <w:t xml:space="preserve">Подтверждается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96"/>
              <w:numPr>
                <w:ilvl w:val="0"/>
                <w:numId w:val="119"/>
              </w:numPr>
              <w:contextualSpacing/>
              <w:ind w:left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заседания комиссии по проверки знаний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выполнять работы по Наряду-допуску и заверенные руководителем подрядной организации или уполномоченным лицом.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2) 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Копию документа, подтверждающего наличие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соответствующей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группы безопасности работ на высоте: у ответственного руководителя работ III группа, у производителя  работ II группы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11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Копию свидетельства о регистрации транспортного средства либо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копию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ПТС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/ПСМ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(в случае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аличия на правах собственности)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11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.1)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Копии, заверенных Участником документов (в случае отсутствия собственных МТР), по своему усмотрению из перечисленных: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11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договор аренды/ договор на оказание услуг машин и механизмов,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11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соглашение о намерениях заключить договор аренды/ соглашение о намерениях заключить договор на оказание услуг машин и механизмов, указанных приложении №1 к настоящим Техническим требованиям.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11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гарантийное письмо о заключении договора аренды/ гарантийное письмо о заключении договора на оказание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услуг транспортом, указанном в приложении №1 к настоящим Техническим требованиям.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11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иные документы, подтверждающие право владения/распоряжения.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11"/>
              <w:ind w:left="145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.2)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привле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чения для исполнения обязательств по договору третьих лиц, исполнитель обязан предоставить заказчику, документы, подтверждающие законность хозяйственных отношений исполнителя и третьих лиц (договор подряда, договор аренды, соглашение о намерениях, прочие).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</w:tbl>
    <w:p>
      <w:pPr>
        <w:spacing w:after="160" w:line="259" w:lineRule="auto"/>
        <w:rPr>
          <w:sz w:val="22"/>
          <w:szCs w:val="22"/>
        </w:rPr>
        <w:sectPr>
          <w:footnotePr/>
          <w:endnotePr/>
          <w:type w:val="nextPage"/>
          <w:pgSz w:w="16838" w:h="11906" w:orient="landscape"/>
          <w:pgMar w:top="993" w:right="1134" w:bottom="850" w:left="1134" w:header="426" w:footer="708" w:gutter="0"/>
          <w:cols w:num="1" w:sep="0" w:space="708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7"/>
        <w:ind w:left="357" w:hanging="357"/>
        <w:jc w:val="center"/>
        <w:keepLines/>
        <w:rPr>
          <w:sz w:val="22"/>
          <w:szCs w:val="22"/>
        </w:rPr>
      </w:pPr>
      <w:r>
        <w:rPr>
          <w:sz w:val="22"/>
          <w:szCs w:val="22"/>
        </w:rPr>
      </w:r>
      <w:bookmarkStart w:id="35" w:name="_Toc53393312"/>
      <w:r>
        <w:rPr>
          <w:sz w:val="22"/>
          <w:szCs w:val="22"/>
        </w:rPr>
      </w:r>
      <w:bookmarkStart w:id="36" w:name="_Toc54646411"/>
      <w:r>
        <w:rPr>
          <w:sz w:val="22"/>
          <w:szCs w:val="22"/>
        </w:rPr>
      </w:r>
      <w:bookmarkStart w:id="37" w:name="_Toc46743519"/>
      <w:r>
        <w:rPr>
          <w:sz w:val="22"/>
          <w:szCs w:val="22"/>
        </w:rPr>
      </w:r>
      <w:bookmarkStart w:id="38" w:name="_Toc51339699"/>
      <w:r>
        <w:rPr>
          <w:sz w:val="22"/>
          <w:szCs w:val="22"/>
        </w:rPr>
        <w:t xml:space="preserve">Требования к документации по ценообразованию</w:t>
      </w:r>
      <w:bookmarkEnd w:id="35"/>
      <w:r>
        <w:rPr>
          <w:sz w:val="22"/>
          <w:szCs w:val="22"/>
        </w:rPr>
        <w:t xml:space="preserve"> на этапе закупки</w:t>
      </w:r>
      <w:bookmarkEnd w:id="36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0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В обоснование стоимос</w:t>
      </w:r>
      <w:r>
        <w:rPr>
          <w:b w:val="0"/>
          <w:bCs w:val="0"/>
          <w:iCs/>
          <w:sz w:val="22"/>
          <w:szCs w:val="22"/>
        </w:rPr>
        <w:t xml:space="preserve">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r/>
      <w:r/>
    </w:p>
    <w:p>
      <w:pPr>
        <w:pStyle w:val="997"/>
        <w:numPr>
          <w:ilvl w:val="0"/>
          <w:numId w:val="0"/>
        </w:numPr>
        <w:ind w:left="0" w:firstLine="708"/>
        <w:jc w:val="both"/>
        <w:rPr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Стоимость предложений участников определяется по формуле: </w:t>
      </w:r>
      <w:r>
        <w:rPr>
          <w:i w:val="0"/>
          <w:iCs w:val="0"/>
          <w:sz w:val="24"/>
          <w:szCs w:val="24"/>
          <w:highlight w:val="white"/>
        </w:rPr>
        <w:t xml:space="preserve">P=N*k,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pacing w:before="0" w:line="240" w:lineRule="auto"/>
        <w:tabs>
          <w:tab w:val="left" w:pos="567" w:leader="none"/>
        </w:tabs>
        <w:rPr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где P – стоимость предложения участника;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pacing w:before="0" w:line="240" w:lineRule="auto"/>
        <w:tabs>
          <w:tab w:val="left" w:pos="567" w:leader="none"/>
        </w:tabs>
        <w:rPr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N – начальная (максимальная) цена договора</w:t>
      </w:r>
      <w:r>
        <w:rPr>
          <w:i w:val="0"/>
          <w:iCs w:val="0"/>
          <w:sz w:val="24"/>
          <w:szCs w:val="24"/>
          <w:highlight w:val="white"/>
        </w:rPr>
        <w:t xml:space="preserve"> (цена лота)</w:t>
      </w:r>
      <w:r>
        <w:rPr>
          <w:i w:val="0"/>
          <w:iCs w:val="0"/>
          <w:sz w:val="24"/>
          <w:szCs w:val="24"/>
          <w:highlight w:val="white"/>
        </w:rPr>
        <w:t xml:space="preserve">, определенная в соответствии со сметной документацией Заказчика, приведенной в приложении №4 к настоящим Техническим требованиям; 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0"/>
        </w:numPr>
        <w:ind w:left="0" w:right="0" w:firstLine="0"/>
        <w:jc w:val="both"/>
        <w:spacing w:before="0" w:line="240" w:lineRule="auto"/>
        <w:tabs>
          <w:tab w:val="left" w:pos="567" w:leader="none"/>
        </w:tabs>
        <w:rPr>
          <w:b w:val="0"/>
          <w:bCs w:val="0"/>
          <w:iCs/>
          <w:highlight w:val="white"/>
        </w:rPr>
      </w:pPr>
      <w:r>
        <w:rPr>
          <w:bCs w:val="0"/>
          <w:i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  <w:t xml:space="preserve">k – </w:t>
      </w:r>
      <w:r>
        <w:rPr>
          <w:i w:val="0"/>
          <w:iCs w:val="0"/>
          <w:sz w:val="24"/>
          <w:szCs w:val="24"/>
          <w:highlight w:val="white"/>
        </w:rPr>
        <w:t xml:space="preserve">понижающий коэффициент, заявленный участником </w:t>
      </w:r>
      <w:r>
        <w:rPr>
          <w:i w:val="0"/>
          <w:iCs w:val="0"/>
          <w:sz w:val="24"/>
          <w:szCs w:val="24"/>
          <w:highlight w:val="white"/>
        </w:rPr>
        <w:t xml:space="preserve">в расчете цены заявки, величину данного коэффициента рекомендуется учитывать с округлением до 7 знаков после запятой</w:t>
      </w:r>
      <w:r>
        <w:rPr>
          <w:i w:val="0"/>
          <w:i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iCs/>
          <w:highlight w:val="white"/>
        </w:rPr>
      </w:r>
      <w:r>
        <w:rPr>
          <w:b w:val="0"/>
          <w:bCs w:val="0"/>
          <w:iCs/>
          <w:highlight w:val="white"/>
        </w:rPr>
      </w:r>
    </w:p>
    <w:p>
      <w:r/>
      <w:r/>
    </w:p>
    <w:p>
      <w:pPr>
        <w:pStyle w:val="1000"/>
        <w:ind w:left="1418" w:hanging="709"/>
        <w:jc w:val="both"/>
        <w:rPr>
          <w:b w:val="0"/>
          <w:iCs/>
          <w:sz w:val="22"/>
          <w:szCs w:val="22"/>
        </w:rPr>
      </w:pPr>
      <w:r>
        <w:rPr>
          <w:b w:val="0"/>
          <w:iCs/>
          <w:sz w:val="22"/>
          <w:szCs w:val="22"/>
        </w:rPr>
        <w:t xml:space="preserve">Дополнительные документы по ценообразованию (сметна</w:t>
      </w:r>
      <w:r>
        <w:rPr>
          <w:b w:val="0"/>
          <w:iCs/>
          <w:sz w:val="22"/>
          <w:szCs w:val="22"/>
        </w:rPr>
        <w:t xml:space="preserve">я документация) в состав заявки Участника не включаются.</w:t>
      </w:r>
      <w:r>
        <w:rPr>
          <w:b w:val="0"/>
          <w:iCs/>
          <w:sz w:val="22"/>
          <w:szCs w:val="22"/>
        </w:rPr>
      </w:r>
      <w:r>
        <w:rPr>
          <w:b w:val="0"/>
          <w:iCs/>
          <w:sz w:val="22"/>
          <w:szCs w:val="22"/>
        </w:rPr>
      </w:r>
    </w:p>
    <w:p>
      <w:pPr>
        <w:rPr>
          <w:rFonts w:eastAsia="Calibri"/>
          <w:b/>
          <w:bCs/>
          <w:iCs/>
          <w:sz w:val="22"/>
          <w:szCs w:val="22"/>
        </w:rPr>
      </w:pPr>
      <w:r>
        <w:rPr>
          <w:rFonts w:eastAsia="Calibri"/>
          <w:b/>
          <w:bCs/>
          <w:iCs/>
          <w:sz w:val="22"/>
          <w:szCs w:val="22"/>
        </w:rPr>
      </w:r>
      <w:r>
        <w:rPr>
          <w:rFonts w:eastAsia="Calibri"/>
          <w:b/>
          <w:bCs/>
          <w:iCs/>
          <w:sz w:val="22"/>
          <w:szCs w:val="22"/>
        </w:rPr>
      </w:r>
      <w:r>
        <w:rPr>
          <w:rFonts w:eastAsia="Calibri"/>
          <w:b/>
          <w:bCs/>
          <w:iCs/>
          <w:sz w:val="22"/>
          <w:szCs w:val="22"/>
        </w:rPr>
      </w:r>
    </w:p>
    <w:p>
      <w:pPr>
        <w:pStyle w:val="997"/>
        <w:ind w:left="357" w:hanging="357"/>
        <w:jc w:val="center"/>
        <w:keepLines/>
        <w:rPr>
          <w:sz w:val="22"/>
          <w:szCs w:val="22"/>
        </w:rPr>
      </w:pPr>
      <w:r>
        <w:rPr>
          <w:sz w:val="22"/>
          <w:szCs w:val="22"/>
        </w:rPr>
      </w:r>
      <w:bookmarkStart w:id="39" w:name="_Toc54646412"/>
      <w:r>
        <w:rPr>
          <w:sz w:val="22"/>
          <w:szCs w:val="22"/>
        </w:rPr>
        <w:t xml:space="preserve">Требования к документации по ценообразованию на этапе заключения (исполнения) договора</w:t>
      </w:r>
      <w:bookmarkEnd w:id="39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7"/>
        <w:numPr>
          <w:ilvl w:val="0"/>
          <w:numId w:val="0"/>
        </w:numPr>
        <w:ind w:left="357"/>
        <w:keepLines/>
        <w:rPr>
          <w:iCs/>
          <w:sz w:val="22"/>
          <w:szCs w:val="22"/>
        </w:rPr>
      </w:pP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  <w:r>
        <w:rPr>
          <w:iCs/>
          <w:sz w:val="22"/>
          <w:szCs w:val="22"/>
        </w:rPr>
      </w:r>
    </w:p>
    <w:p>
      <w:pPr>
        <w:pStyle w:val="1000"/>
        <w:ind w:left="1418" w:hanging="709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Требования к составлению сметной документации (при заключении договора):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1000"/>
        <w:numPr>
          <w:ilvl w:val="2"/>
          <w:numId w:val="1"/>
        </w:numPr>
        <w:ind w:left="1418" w:hanging="1"/>
        <w:jc w:val="both"/>
        <w:rPr>
          <w:b w:val="0"/>
          <w:bCs w:val="0"/>
          <w:iCs/>
          <w:sz w:val="22"/>
          <w:szCs w:val="22"/>
        </w:rPr>
      </w:pPr>
      <w:r>
        <w:rPr>
          <w:b w:val="0"/>
          <w:bCs w:val="0"/>
          <w:iCs/>
          <w:sz w:val="22"/>
          <w:szCs w:val="22"/>
        </w:rPr>
        <w:t xml:space="preserve">Сметная документация разработана З</w:t>
      </w:r>
      <w:r>
        <w:rPr>
          <w:b w:val="0"/>
          <w:bCs w:val="0"/>
          <w:iCs/>
          <w:sz w:val="22"/>
          <w:szCs w:val="22"/>
        </w:rPr>
        <w:t xml:space="preserve">аказчиком в рамках определения начальной (максимальной) цены договора в соответствии с требованиями, указанными в приложении №1 к ТТ, и включается в состав договора с применением понижающего коэффициента, указанного в заявке Участника, с которым принято ре</w:t>
      </w:r>
      <w:r>
        <w:rPr>
          <w:b w:val="0"/>
          <w:bCs w:val="0"/>
          <w:iCs/>
          <w:sz w:val="22"/>
          <w:szCs w:val="22"/>
        </w:rPr>
        <w:t xml:space="preserve">шение заключить договор. Понижающий коэффициент начисляется в сводном сметном расчете единым индексом в итогах (после начисления лимитированных затрат).</w:t>
      </w:r>
      <w:r>
        <w:rPr>
          <w:b w:val="0"/>
          <w:bCs w:val="0"/>
          <w:iCs/>
          <w:sz w:val="22"/>
          <w:szCs w:val="22"/>
        </w:rPr>
      </w:r>
      <w:r>
        <w:rPr>
          <w:b w:val="0"/>
          <w:bCs w:val="0"/>
          <w:iCs/>
          <w:sz w:val="22"/>
          <w:szCs w:val="22"/>
        </w:rPr>
      </w:r>
    </w:p>
    <w:p>
      <w:pPr>
        <w:pStyle w:val="1000"/>
        <w:numPr>
          <w:ilvl w:val="2"/>
          <w:numId w:val="1"/>
        </w:numPr>
        <w:ind w:left="1418" w:hanging="709"/>
        <w:jc w:val="both"/>
        <w:rPr>
          <w:b w:val="0"/>
          <w:bCs w:val="0"/>
          <w:iCs/>
          <w:sz w:val="22"/>
          <w:szCs w:val="22"/>
          <w:highlight w:val="white"/>
        </w:rPr>
      </w:pPr>
      <w:r>
        <w:rPr>
          <w:b w:val="0"/>
          <w:bCs w:val="0"/>
          <w:iCs/>
          <w:sz w:val="22"/>
          <w:szCs w:val="22"/>
          <w:highlight w:val="white"/>
        </w:rPr>
        <w:t xml:space="preserve">Внесение изменений в сметную документацию Заказчика, кроме применения </w:t>
      </w:r>
      <w:r>
        <w:rPr>
          <w:b w:val="0"/>
          <w:bCs w:val="0"/>
          <w:iCs/>
          <w:sz w:val="22"/>
          <w:szCs w:val="22"/>
          <w:highlight w:val="white"/>
        </w:rPr>
        <w:t xml:space="preserve">понижающего коэффициента в соответствии с п.4.1.1, не допускается.</w:t>
      </w:r>
      <w:r>
        <w:rPr>
          <w:b w:val="0"/>
          <w:bCs w:val="0"/>
          <w:iCs/>
          <w:sz w:val="22"/>
          <w:szCs w:val="22"/>
          <w:highlight w:val="white"/>
        </w:rPr>
      </w:r>
      <w:r>
        <w:rPr>
          <w:b w:val="0"/>
          <w:bCs w:val="0"/>
          <w:iCs/>
          <w:sz w:val="22"/>
          <w:szCs w:val="22"/>
          <w:highlight w:val="white"/>
        </w:rPr>
      </w:r>
    </w:p>
    <w:p>
      <w:pPr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1418" w:hanging="709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</w:t>
      </w:r>
      <w:r>
        <w:rPr>
          <w:sz w:val="22"/>
          <w:szCs w:val="22"/>
          <w:highlight w:val="white"/>
        </w:rPr>
        <w:t xml:space="preserve">.1</w:t>
      </w:r>
      <w:r>
        <w:rPr>
          <w:sz w:val="22"/>
          <w:szCs w:val="22"/>
          <w:highlight w:val="white"/>
        </w:rPr>
        <w:t xml:space="preserve">.3.  В сметной док</w:t>
      </w:r>
      <w:r>
        <w:rPr>
          <w:sz w:val="22"/>
          <w:szCs w:val="22"/>
          <w:highlight w:val="white"/>
        </w:rPr>
        <w:t xml:space="preserve">ументации предусмотрен рез</w:t>
      </w:r>
      <w:r>
        <w:rPr>
          <w:sz w:val="22"/>
          <w:szCs w:val="22"/>
          <w:highlight w:val="white"/>
        </w:rPr>
        <w:t xml:space="preserve">ерв средств на непредвиденные работы и затраты </w:t>
      </w:r>
      <w:r>
        <w:rPr>
          <w:sz w:val="22"/>
          <w:szCs w:val="22"/>
          <w:highlight w:val="white"/>
        </w:rPr>
        <w:t xml:space="preserve">в размере 3%</w:t>
      </w:r>
      <w:r>
        <w:rPr>
          <w:iCs/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1418" w:hanging="709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1418" w:hanging="709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4.2.      Требования к составлению сметной документации (на этапе исполнения договора):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1418" w:hanging="709"/>
        <w:jc w:val="both"/>
        <w:rPr>
          <w:highlight w:val="white"/>
        </w:rPr>
      </w:pPr>
      <w:r>
        <w:rPr>
          <w:sz w:val="22"/>
          <w:szCs w:val="22"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709" w:right="0" w:firstLine="0"/>
        <w:jc w:val="both"/>
      </w:pPr>
      <w:r>
        <w:rPr>
          <w:sz w:val="22"/>
          <w:szCs w:val="22"/>
          <w:highlight w:val="none"/>
        </w:rPr>
        <w:t xml:space="preserve">4.2.1.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1 к ТТ</w:t>
      </w:r>
      <w:r>
        <w:rPr>
          <w:sz w:val="22"/>
          <w:szCs w:val="22"/>
          <w:highlight w:val="none"/>
        </w:rPr>
        <w:t xml:space="preserve">, с применением понижающего коэффициента, определенного по результатам конкурентной процедуры (п. 4.1.1).</w:t>
      </w:r>
      <w:r>
        <w:rPr>
          <w:sz w:val="22"/>
          <w:szCs w:val="22"/>
          <w:highlight w:val="none"/>
        </w:rPr>
      </w:r>
      <w:r/>
    </w:p>
    <w:p>
      <w:pPr>
        <w:pStyle w:val="997"/>
        <w:ind w:left="357" w:hanging="357"/>
        <w:jc w:val="center"/>
        <w:keepLines/>
        <w:rPr>
          <w:iCs/>
          <w:caps/>
          <w:sz w:val="22"/>
          <w:szCs w:val="22"/>
        </w:rPr>
      </w:pPr>
      <w:r>
        <w:rPr>
          <w:sz w:val="22"/>
          <w:szCs w:val="22"/>
        </w:rPr>
      </w:r>
      <w:bookmarkStart w:id="40" w:name="_Toc54646413"/>
      <w:r>
        <w:rPr>
          <w:iCs/>
          <w:sz w:val="22"/>
          <w:szCs w:val="22"/>
        </w:rPr>
        <w:t xml:space="preserve">Приложения</w:t>
      </w:r>
      <w:bookmarkEnd w:id="37"/>
      <w:r>
        <w:rPr>
          <w:sz w:val="22"/>
          <w:szCs w:val="22"/>
        </w:rPr>
      </w:r>
      <w:bookmarkEnd w:id="38"/>
      <w:r>
        <w:rPr>
          <w:sz w:val="22"/>
          <w:szCs w:val="22"/>
        </w:rPr>
      </w:r>
      <w:bookmarkEnd w:id="40"/>
      <w:r>
        <w:rPr>
          <w:iCs/>
          <w:caps/>
          <w:sz w:val="22"/>
          <w:szCs w:val="22"/>
        </w:rPr>
      </w:r>
      <w:r>
        <w:rPr>
          <w:iCs/>
          <w:caps/>
          <w:sz w:val="22"/>
          <w:szCs w:val="22"/>
        </w:rPr>
      </w:r>
    </w:p>
    <w:p>
      <w:pPr>
        <w:jc w:val="both"/>
        <w:spacing w:after="120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</w:rPr>
        <w:t xml:space="preserve">Приложение № 1 - </w:t>
      </w:r>
      <w:r>
        <w:rPr>
          <w:sz w:val="22"/>
          <w:szCs w:val="22"/>
        </w:rPr>
        <w:t xml:space="preserve">Требования к оформлению и составлению документации по </w:t>
      </w:r>
      <w:r>
        <w:rPr>
          <w:sz w:val="22"/>
          <w:szCs w:val="22"/>
          <w:highlight w:val="white"/>
        </w:rPr>
        <w:t xml:space="preserve">ценообразованию.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jc w:val="both"/>
        <w:spacing w:after="120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Приложение № 2 - Ведомость объемов работ.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jc w:val="both"/>
        <w:spacing w:after="120"/>
        <w:rPr>
          <w:bCs/>
          <w:i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Приложение № 3 - Ведомость матери</w:t>
      </w:r>
      <w:r>
        <w:rPr>
          <w:bCs/>
          <w:sz w:val="22"/>
          <w:szCs w:val="22"/>
          <w:highlight w:val="white"/>
        </w:rPr>
        <w:t xml:space="preserve">алов Подрядчика</w:t>
      </w:r>
      <w:r>
        <w:rPr>
          <w:bCs/>
          <w:i/>
          <w:sz w:val="22"/>
          <w:szCs w:val="22"/>
          <w:highlight w:val="white"/>
        </w:rPr>
        <w:t xml:space="preserve">.</w:t>
      </w:r>
      <w:r>
        <w:rPr>
          <w:bCs/>
          <w:i/>
          <w:sz w:val="22"/>
          <w:szCs w:val="22"/>
          <w:highlight w:val="white"/>
        </w:rPr>
      </w:r>
      <w:r>
        <w:rPr>
          <w:bCs/>
          <w:i/>
          <w:sz w:val="22"/>
          <w:szCs w:val="22"/>
          <w:highlight w:val="white"/>
        </w:rPr>
      </w:r>
    </w:p>
    <w:p>
      <w:pPr>
        <w:jc w:val="both"/>
        <w:spacing w:after="120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Приложение № 4 – Сводный сметный расчет</w:t>
      </w:r>
      <w:r>
        <w:rPr>
          <w:bCs/>
          <w:sz w:val="22"/>
          <w:szCs w:val="22"/>
          <w:highlight w:val="white"/>
        </w:rPr>
        <w:t xml:space="preserve"> (с приложениями №4.1, №4.2</w:t>
      </w:r>
      <w:r>
        <w:rPr>
          <w:bCs/>
          <w:sz w:val="22"/>
          <w:szCs w:val="22"/>
          <w:highlight w:val="white"/>
        </w:rPr>
        <w:t xml:space="preserve">)</w:t>
      </w:r>
      <w:r>
        <w:rPr>
          <w:bCs/>
          <w:sz w:val="22"/>
          <w:szCs w:val="22"/>
          <w:highlight w:val="white"/>
        </w:rPr>
        <w:t xml:space="preserve">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jc w:val="both"/>
        <w:spacing w:after="120"/>
        <w:rPr>
          <w:sz w:val="22"/>
          <w:szCs w:val="22"/>
          <w:highlight w:val="none"/>
        </w:rPr>
      </w:pPr>
      <w:r>
        <w:rPr>
          <w:bCs/>
          <w:sz w:val="22"/>
          <w:szCs w:val="22"/>
          <w:highlight w:val="white"/>
        </w:rPr>
        <w:t xml:space="preserve">Приложение № 5</w:t>
      </w:r>
      <w:r>
        <w:rPr>
          <w:bCs/>
          <w:sz w:val="22"/>
          <w:szCs w:val="22"/>
          <w:highlight w:val="white"/>
        </w:rPr>
        <w:t xml:space="preserve"> – ЛНА.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both"/>
        <w:spacing w:after="12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both"/>
        <w:spacing w:after="120"/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non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neva">
    <w:panose1 w:val="02000603000000000000"/>
  </w:font>
  <w:font w:name="Symbol">
    <w:panose1 w:val="05010000000000000000"/>
  </w:font>
  <w:font w:name="Wingdings">
    <w:panose1 w:val="05010000000000000000"/>
  </w:font>
  <w:font w:name="Times New Roman (???????? ?????">
    <w:panose1 w:val="020206030504050203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Liberation Serif">
    <w:panose1 w:val="02020603050405020304"/>
  </w:font>
  <w:font w:name="Segoe UI">
    <w:panose1 w:val="020B0503020204020204"/>
  </w:font>
  <w:font w:name="calibri light (Заголовки)">
    <w:panose1 w:val="020F0502020204030204"/>
  </w:font>
  <w:font w:name="Calibri">
    <w:panose1 w:val="020F0502020204030204"/>
  </w:font>
  <w:font w:name="Iosevka Term SS03">
    <w:panose1 w:val="020005090300000000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28666342"/>
      <w:docPartObj>
        <w:docPartGallery w:val="Page Numbers (Top of Page)"/>
        <w:docPartUnique w:val="true"/>
      </w:docPartObj>
      <w:rPr/>
    </w:sdtPr>
    <w:sdtContent>
      <w:p>
        <w:pPr>
          <w:pStyle w:val="1186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18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8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8465715"/>
      <w:docPartObj>
        <w:docPartGallery w:val="Page Numbers (Top of Page)"/>
        <w:docPartUnique w:val="true"/>
      </w:docPartObj>
      <w:rPr/>
    </w:sdtPr>
    <w:sdtContent>
      <w:p>
        <w:pPr>
          <w:pStyle w:val="1186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17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18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pStyle w:val="997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00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99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pStyle w:val="119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195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6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7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9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2" w:hanging="360"/>
      </w:pPr>
      <w:rPr>
        <w:rFonts w:hint="default" w:ascii="Wingdings" w:hAnsi="Wingdings"/>
      </w:rPr>
    </w:lvl>
  </w:abstractNum>
  <w:abstractNum w:abstractNumId="1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72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9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2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2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2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4"/>
  </w:num>
  <w:num w:numId="2">
    <w:abstractNumId w:val="33"/>
  </w:num>
  <w:num w:numId="3">
    <w:abstractNumId w:val="1"/>
  </w:num>
  <w:num w:numId="4">
    <w:abstractNumId w:val="15"/>
  </w:num>
  <w:num w:numId="5">
    <w:abstractNumId w:val="29"/>
  </w:num>
  <w:num w:numId="6">
    <w:abstractNumId w:val="17"/>
  </w:num>
  <w:num w:numId="7">
    <w:abstractNumId w:val="0"/>
  </w:num>
  <w:num w:numId="8">
    <w:abstractNumId w:val="27"/>
  </w:num>
  <w:num w:numId="9">
    <w:abstractNumId w:val="5"/>
  </w:num>
  <w:num w:numId="10">
    <w:abstractNumId w:val="8"/>
  </w:num>
  <w:num w:numId="11">
    <w:abstractNumId w:val="7"/>
  </w:num>
  <w:num w:numId="12">
    <w:abstractNumId w:val="4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0"/>
  </w:num>
  <w:num w:numId="17">
    <w:abstractNumId w:val="22"/>
  </w:num>
  <w:num w:numId="18">
    <w:abstractNumId w:val="25"/>
  </w:num>
  <w:num w:numId="19">
    <w:abstractNumId w:val="26"/>
  </w:num>
  <w:num w:numId="20">
    <w:abstractNumId w:val="16"/>
  </w:num>
  <w:num w:numId="21">
    <w:abstractNumId w:val="12"/>
  </w:num>
  <w:num w:numId="22">
    <w:abstractNumId w:val="9"/>
  </w:num>
  <w:num w:numId="23">
    <w:abstractNumId w:val="31"/>
  </w:num>
  <w:num w:numId="24">
    <w:abstractNumId w:val="3"/>
  </w:num>
  <w:num w:numId="25">
    <w:abstractNumId w:val="38"/>
  </w:num>
  <w:num w:numId="26">
    <w:abstractNumId w:val="37"/>
  </w:num>
  <w:num w:numId="27">
    <w:abstractNumId w:val="13"/>
  </w:num>
  <w:num w:numId="28">
    <w:abstractNumId w:val="35"/>
  </w:num>
  <w:num w:numId="29">
    <w:abstractNumId w:val="6"/>
  </w:num>
  <w:num w:numId="30">
    <w:abstractNumId w:val="34"/>
  </w:num>
  <w:num w:numId="31">
    <w:abstractNumId w:val="28"/>
  </w:num>
  <w:num w:numId="32">
    <w:abstractNumId w:val="2"/>
  </w:num>
  <w:num w:numId="33">
    <w:abstractNumId w:val="30"/>
  </w:num>
  <w:num w:numId="34">
    <w:abstractNumId w:val="23"/>
  </w:num>
  <w:num w:numId="35">
    <w:abstractNumId w:val="19"/>
  </w:num>
  <w:num w:numId="36">
    <w:abstractNumId w:val="14"/>
  </w:num>
  <w:num w:numId="37">
    <w:abstractNumId w:val="36"/>
  </w:num>
  <w:num w:numId="38">
    <w:abstractNumId w:val="11"/>
  </w:num>
  <w:num w:numId="39">
    <w:abstractNumId w:val="20"/>
  </w:num>
  <w:num w:numId="40">
    <w:abstractNumId w:val="32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  <w:num w:numId="85">
    <w:abstractNumId w:val="83"/>
  </w:num>
  <w:num w:numId="86">
    <w:abstractNumId w:val="84"/>
  </w:num>
  <w:num w:numId="87">
    <w:abstractNumId w:val="85"/>
  </w:num>
  <w:num w:numId="88">
    <w:abstractNumId w:val="86"/>
  </w:num>
  <w:num w:numId="89">
    <w:abstractNumId w:val="87"/>
  </w:num>
  <w:num w:numId="90">
    <w:abstractNumId w:val="88"/>
  </w:num>
  <w:num w:numId="91">
    <w:abstractNumId w:val="89"/>
  </w:num>
  <w:num w:numId="92">
    <w:abstractNumId w:val="90"/>
  </w:num>
  <w:num w:numId="93">
    <w:abstractNumId w:val="91"/>
  </w:num>
  <w:num w:numId="94">
    <w:abstractNumId w:val="92"/>
  </w:num>
  <w:num w:numId="95">
    <w:abstractNumId w:val="93"/>
  </w:num>
  <w:num w:numId="96">
    <w:abstractNumId w:val="94"/>
  </w:num>
  <w:num w:numId="97">
    <w:abstractNumId w:val="95"/>
  </w:num>
  <w:num w:numId="98">
    <w:abstractNumId w:val="96"/>
  </w:num>
  <w:num w:numId="99">
    <w:abstractNumId w:val="97"/>
  </w:num>
  <w:num w:numId="100">
    <w:abstractNumId w:val="98"/>
  </w:num>
  <w:num w:numId="101">
    <w:abstractNumId w:val="99"/>
  </w:num>
  <w:num w:numId="102">
    <w:abstractNumId w:val="100"/>
  </w:num>
  <w:num w:numId="103">
    <w:abstractNumId w:val="101"/>
  </w:num>
  <w:num w:numId="104">
    <w:abstractNumId w:val="102"/>
  </w:num>
  <w:num w:numId="105">
    <w:abstractNumId w:val="103"/>
  </w:num>
  <w:num w:numId="106">
    <w:abstractNumId w:val="104"/>
  </w:num>
  <w:num w:numId="107">
    <w:abstractNumId w:val="105"/>
  </w:num>
  <w:num w:numId="108">
    <w:abstractNumId w:val="106"/>
  </w:num>
  <w:num w:numId="109">
    <w:abstractNumId w:val="107"/>
  </w:num>
  <w:num w:numId="110">
    <w:abstractNumId w:val="108"/>
  </w:num>
  <w:num w:numId="111">
    <w:abstractNumId w:val="109"/>
  </w:num>
  <w:num w:numId="112">
    <w:abstractNumId w:val="110"/>
  </w:num>
  <w:num w:numId="113">
    <w:abstractNumId w:val="111"/>
  </w:num>
  <w:num w:numId="114">
    <w:abstractNumId w:val="112"/>
  </w:num>
  <w:num w:numId="115">
    <w:abstractNumId w:val="113"/>
  </w:num>
  <w:num w:numId="116">
    <w:abstractNumId w:val="114"/>
  </w:num>
  <w:num w:numId="117">
    <w:abstractNumId w:val="115"/>
  </w:num>
  <w:num w:numId="118">
    <w:abstractNumId w:val="116"/>
  </w:num>
  <w:num w:numId="119">
    <w:abstractNumId w:val="117"/>
  </w:num>
  <w:num w:numId="120">
    <w:abstractNumId w:val="118"/>
  </w:num>
  <w:num w:numId="121">
    <w:abstractNumId w:val="119"/>
  </w:num>
  <w:num w:numId="122">
    <w:abstractNumId w:val="120"/>
  </w:num>
  <w:num w:numId="123">
    <w:abstractNumId w:val="121"/>
  </w:num>
  <w:num w:numId="124">
    <w:abstractNumId w:val="122"/>
  </w:num>
  <w:num w:numId="125">
    <w:abstractNumId w:val="123"/>
  </w:num>
  <w:num w:numId="126">
    <w:abstractNumId w:val="124"/>
  </w:num>
  <w:num w:numId="127">
    <w:abstractNumId w:val="125"/>
  </w:num>
  <w:num w:numId="128">
    <w:abstractNumId w:val="126"/>
  </w:num>
  <w:num w:numId="129">
    <w:abstractNumId w:val="127"/>
  </w:num>
  <w:num w:numId="130">
    <w:abstractNumId w:val="128"/>
  </w:num>
  <w:num w:numId="131">
    <w:abstractNumId w:val="129"/>
  </w:num>
  <w:num w:numId="132">
    <w:abstractNumId w:val="130"/>
  </w:num>
  <w:num w:numId="133">
    <w:abstractNumId w:val="131"/>
  </w:num>
  <w:num w:numId="134">
    <w:abstractNumId w:val="132"/>
  </w:num>
  <w:num w:numId="135">
    <w:abstractNumId w:val="133"/>
  </w:num>
  <w:num w:numId="136">
    <w:abstractNumId w:val="1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77">
    <w:name w:val="Plain Table 1"/>
    <w:basedOn w:val="10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8">
    <w:name w:val="Plain Table 2"/>
    <w:basedOn w:val="10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9">
    <w:name w:val="Plain Table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80">
    <w:name w:val="Plain Table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Plain Table 5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2">
    <w:name w:val="Grid Table 1 Light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4"/>
    <w:basedOn w:val="10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6">
    <w:name w:val="Grid Table 5 Dark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7">
    <w:name w:val="Grid Table 6 Colorful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8">
    <w:name w:val="Grid Table 7 Colorful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2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1">
    <w:name w:val="List Table 3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5 Dark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6 Colorful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5">
    <w:name w:val="List Table 7 Colorful"/>
    <w:basedOn w:val="10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99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7">
    <w:name w:val="Heading 1"/>
    <w:basedOn w:val="999"/>
    <w:next w:val="996"/>
    <w:link w:val="1190"/>
    <w:qFormat/>
    <w:pPr>
      <w:numPr>
        <w:ilvl w:val="0"/>
      </w:numPr>
      <w:outlineLvl w:val="0"/>
    </w:pPr>
    <w:rPr>
      <w:sz w:val="28"/>
      <w:szCs w:val="28"/>
    </w:rPr>
  </w:style>
  <w:style w:type="paragraph" w:styleId="998">
    <w:name w:val="Heading 2"/>
    <w:basedOn w:val="996"/>
    <w:next w:val="996"/>
    <w:link w:val="102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99">
    <w:name w:val="Heading 3"/>
    <w:basedOn w:val="996"/>
    <w:next w:val="996"/>
    <w:link w:val="1191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1000">
    <w:name w:val="Heading 4"/>
    <w:basedOn w:val="999"/>
    <w:next w:val="996"/>
    <w:link w:val="1192"/>
    <w:qFormat/>
    <w:pPr>
      <w:numPr>
        <w:ilvl w:val="1"/>
      </w:numPr>
      <w:outlineLvl w:val="3"/>
    </w:pPr>
    <w:rPr>
      <w:bCs/>
    </w:rPr>
  </w:style>
  <w:style w:type="paragraph" w:styleId="1001">
    <w:name w:val="Heading 5"/>
    <w:basedOn w:val="996"/>
    <w:next w:val="996"/>
    <w:link w:val="10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002">
    <w:name w:val="Heading 6"/>
    <w:basedOn w:val="996"/>
    <w:next w:val="996"/>
    <w:link w:val="102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003">
    <w:name w:val="Heading 7"/>
    <w:basedOn w:val="996"/>
    <w:next w:val="996"/>
    <w:link w:val="102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004">
    <w:name w:val="Heading 8"/>
    <w:basedOn w:val="996"/>
    <w:next w:val="996"/>
    <w:link w:val="10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05">
    <w:name w:val="Heading 9"/>
    <w:basedOn w:val="996"/>
    <w:next w:val="996"/>
    <w:link w:val="10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06" w:default="1">
    <w:name w:val="Default Paragraph Font"/>
    <w:uiPriority w:val="1"/>
    <w:semiHidden/>
    <w:unhideWhenUsed/>
  </w:style>
  <w:style w:type="table" w:styleId="10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8" w:default="1">
    <w:name w:val="No List"/>
    <w:uiPriority w:val="99"/>
    <w:semiHidden/>
    <w:unhideWhenUsed/>
  </w:style>
  <w:style w:type="character" w:styleId="1009" w:customStyle="1">
    <w:name w:val="Heading 2 Char"/>
    <w:basedOn w:val="1006"/>
    <w:uiPriority w:val="9"/>
    <w:rPr>
      <w:rFonts w:ascii="Arial" w:hAnsi="Arial" w:eastAsia="Arial" w:cs="Arial"/>
      <w:sz w:val="34"/>
    </w:rPr>
  </w:style>
  <w:style w:type="character" w:styleId="1010" w:customStyle="1">
    <w:name w:val="Heading 5 Char"/>
    <w:basedOn w:val="1006"/>
    <w:uiPriority w:val="9"/>
    <w:rPr>
      <w:rFonts w:ascii="Arial" w:hAnsi="Arial" w:eastAsia="Arial" w:cs="Arial"/>
      <w:b/>
      <w:bCs/>
      <w:sz w:val="24"/>
      <w:szCs w:val="24"/>
    </w:rPr>
  </w:style>
  <w:style w:type="character" w:styleId="1011" w:customStyle="1">
    <w:name w:val="Heading 6 Char"/>
    <w:basedOn w:val="1006"/>
    <w:uiPriority w:val="9"/>
    <w:rPr>
      <w:rFonts w:ascii="Arial" w:hAnsi="Arial" w:eastAsia="Arial" w:cs="Arial"/>
      <w:b/>
      <w:bCs/>
      <w:sz w:val="22"/>
      <w:szCs w:val="22"/>
    </w:rPr>
  </w:style>
  <w:style w:type="character" w:styleId="1012" w:customStyle="1">
    <w:name w:val="Heading 7 Char"/>
    <w:basedOn w:val="10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13" w:customStyle="1">
    <w:name w:val="Heading 8 Char"/>
    <w:basedOn w:val="1006"/>
    <w:uiPriority w:val="9"/>
    <w:rPr>
      <w:rFonts w:ascii="Arial" w:hAnsi="Arial" w:eastAsia="Arial" w:cs="Arial"/>
      <w:i/>
      <w:iCs/>
      <w:sz w:val="22"/>
      <w:szCs w:val="22"/>
    </w:rPr>
  </w:style>
  <w:style w:type="character" w:styleId="1014" w:customStyle="1">
    <w:name w:val="Heading 9 Char"/>
    <w:basedOn w:val="1006"/>
    <w:uiPriority w:val="9"/>
    <w:rPr>
      <w:rFonts w:ascii="Arial" w:hAnsi="Arial" w:eastAsia="Arial" w:cs="Arial"/>
      <w:i/>
      <w:iCs/>
      <w:sz w:val="21"/>
      <w:szCs w:val="21"/>
    </w:rPr>
  </w:style>
  <w:style w:type="character" w:styleId="1015" w:customStyle="1">
    <w:name w:val="Title Char"/>
    <w:basedOn w:val="1006"/>
    <w:uiPriority w:val="10"/>
    <w:rPr>
      <w:sz w:val="48"/>
      <w:szCs w:val="48"/>
    </w:rPr>
  </w:style>
  <w:style w:type="character" w:styleId="1016" w:customStyle="1">
    <w:name w:val="Subtitle Char"/>
    <w:basedOn w:val="1006"/>
    <w:uiPriority w:val="11"/>
    <w:rPr>
      <w:sz w:val="24"/>
      <w:szCs w:val="24"/>
    </w:rPr>
  </w:style>
  <w:style w:type="character" w:styleId="1017" w:customStyle="1">
    <w:name w:val="Quote Char"/>
    <w:uiPriority w:val="29"/>
    <w:rPr>
      <w:i/>
    </w:rPr>
  </w:style>
  <w:style w:type="character" w:styleId="1018" w:customStyle="1">
    <w:name w:val="Intense Quote Char"/>
    <w:uiPriority w:val="30"/>
    <w:rPr>
      <w:i/>
    </w:rPr>
  </w:style>
  <w:style w:type="character" w:styleId="1019" w:customStyle="1">
    <w:name w:val="Footnote Text Char"/>
    <w:uiPriority w:val="99"/>
    <w:rPr>
      <w:sz w:val="18"/>
    </w:rPr>
  </w:style>
  <w:style w:type="character" w:styleId="1020" w:customStyle="1">
    <w:name w:val="Endnote Text Char"/>
    <w:uiPriority w:val="99"/>
    <w:rPr>
      <w:sz w:val="20"/>
    </w:rPr>
  </w:style>
  <w:style w:type="character" w:styleId="1021" w:customStyle="1">
    <w:name w:val="Heading 1 Char"/>
    <w:basedOn w:val="1006"/>
    <w:uiPriority w:val="9"/>
    <w:rPr>
      <w:rFonts w:ascii="Arial" w:hAnsi="Arial" w:eastAsia="Arial" w:cs="Arial"/>
      <w:sz w:val="40"/>
      <w:szCs w:val="40"/>
    </w:rPr>
  </w:style>
  <w:style w:type="character" w:styleId="1022" w:customStyle="1">
    <w:name w:val="Заголовок 2 Знак"/>
    <w:basedOn w:val="1006"/>
    <w:link w:val="998"/>
    <w:uiPriority w:val="9"/>
    <w:rPr>
      <w:rFonts w:ascii="Arial" w:hAnsi="Arial" w:eastAsia="Arial" w:cs="Arial"/>
      <w:sz w:val="34"/>
    </w:rPr>
  </w:style>
  <w:style w:type="character" w:styleId="1023" w:customStyle="1">
    <w:name w:val="Heading 3 Char"/>
    <w:basedOn w:val="1006"/>
    <w:uiPriority w:val="9"/>
    <w:rPr>
      <w:rFonts w:ascii="Arial" w:hAnsi="Arial" w:eastAsia="Arial" w:cs="Arial"/>
      <w:sz w:val="30"/>
      <w:szCs w:val="30"/>
    </w:rPr>
  </w:style>
  <w:style w:type="character" w:styleId="1024" w:customStyle="1">
    <w:name w:val="Heading 4 Char"/>
    <w:basedOn w:val="1006"/>
    <w:uiPriority w:val="9"/>
    <w:rPr>
      <w:rFonts w:ascii="Arial" w:hAnsi="Arial" w:eastAsia="Arial" w:cs="Arial"/>
      <w:b/>
      <w:bCs/>
      <w:sz w:val="26"/>
      <w:szCs w:val="26"/>
    </w:rPr>
  </w:style>
  <w:style w:type="character" w:styleId="1025" w:customStyle="1">
    <w:name w:val="Заголовок 5 Знак"/>
    <w:basedOn w:val="1006"/>
    <w:link w:val="1001"/>
    <w:uiPriority w:val="9"/>
    <w:rPr>
      <w:rFonts w:ascii="Arial" w:hAnsi="Arial" w:eastAsia="Arial" w:cs="Arial"/>
      <w:b/>
      <w:bCs/>
      <w:sz w:val="24"/>
      <w:szCs w:val="24"/>
    </w:rPr>
  </w:style>
  <w:style w:type="character" w:styleId="1026" w:customStyle="1">
    <w:name w:val="Заголовок 6 Знак"/>
    <w:basedOn w:val="1006"/>
    <w:link w:val="1002"/>
    <w:uiPriority w:val="9"/>
    <w:rPr>
      <w:rFonts w:ascii="Arial" w:hAnsi="Arial" w:eastAsia="Arial" w:cs="Arial"/>
      <w:b/>
      <w:bCs/>
      <w:sz w:val="22"/>
      <w:szCs w:val="22"/>
    </w:rPr>
  </w:style>
  <w:style w:type="character" w:styleId="1027" w:customStyle="1">
    <w:name w:val="Заголовок 7 Знак"/>
    <w:basedOn w:val="1006"/>
    <w:link w:val="10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28" w:customStyle="1">
    <w:name w:val="Заголовок 8 Знак"/>
    <w:basedOn w:val="1006"/>
    <w:link w:val="1004"/>
    <w:uiPriority w:val="9"/>
    <w:rPr>
      <w:rFonts w:ascii="Arial" w:hAnsi="Arial" w:eastAsia="Arial" w:cs="Arial"/>
      <w:i/>
      <w:iCs/>
      <w:sz w:val="22"/>
      <w:szCs w:val="22"/>
    </w:rPr>
  </w:style>
  <w:style w:type="character" w:styleId="1029" w:customStyle="1">
    <w:name w:val="Заголовок 9 Знак"/>
    <w:basedOn w:val="1006"/>
    <w:link w:val="1005"/>
    <w:uiPriority w:val="9"/>
    <w:rPr>
      <w:rFonts w:ascii="Arial" w:hAnsi="Arial" w:eastAsia="Arial" w:cs="Arial"/>
      <w:i/>
      <w:iCs/>
      <w:sz w:val="21"/>
      <w:szCs w:val="21"/>
    </w:rPr>
  </w:style>
  <w:style w:type="paragraph" w:styleId="1030">
    <w:name w:val="No Spacing"/>
    <w:uiPriority w:val="1"/>
    <w:qFormat/>
    <w:pPr>
      <w:spacing w:after="0" w:line="240" w:lineRule="auto"/>
    </w:pPr>
  </w:style>
  <w:style w:type="paragraph" w:styleId="1031">
    <w:name w:val="Title"/>
    <w:basedOn w:val="996"/>
    <w:next w:val="996"/>
    <w:link w:val="103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32" w:customStyle="1">
    <w:name w:val="Заголовок Знак"/>
    <w:basedOn w:val="1006"/>
    <w:link w:val="1031"/>
    <w:uiPriority w:val="10"/>
    <w:rPr>
      <w:sz w:val="48"/>
      <w:szCs w:val="48"/>
    </w:rPr>
  </w:style>
  <w:style w:type="paragraph" w:styleId="1033">
    <w:name w:val="Subtitle"/>
    <w:basedOn w:val="996"/>
    <w:next w:val="996"/>
    <w:link w:val="1034"/>
    <w:uiPriority w:val="11"/>
    <w:qFormat/>
    <w:pPr>
      <w:spacing w:before="200" w:after="200"/>
    </w:pPr>
    <w:rPr>
      <w:sz w:val="24"/>
      <w:szCs w:val="24"/>
    </w:rPr>
  </w:style>
  <w:style w:type="character" w:styleId="1034" w:customStyle="1">
    <w:name w:val="Подзаголовок Знак"/>
    <w:basedOn w:val="1006"/>
    <w:link w:val="1033"/>
    <w:uiPriority w:val="11"/>
    <w:rPr>
      <w:sz w:val="24"/>
      <w:szCs w:val="24"/>
    </w:rPr>
  </w:style>
  <w:style w:type="paragraph" w:styleId="1035">
    <w:name w:val="Quote"/>
    <w:basedOn w:val="996"/>
    <w:next w:val="996"/>
    <w:link w:val="1036"/>
    <w:uiPriority w:val="29"/>
    <w:qFormat/>
    <w:pPr>
      <w:ind w:left="720" w:right="720"/>
    </w:pPr>
    <w:rPr>
      <w:i/>
    </w:rPr>
  </w:style>
  <w:style w:type="character" w:styleId="1036" w:customStyle="1">
    <w:name w:val="Цитата 2 Знак"/>
    <w:link w:val="1035"/>
    <w:uiPriority w:val="29"/>
    <w:rPr>
      <w:i/>
    </w:rPr>
  </w:style>
  <w:style w:type="paragraph" w:styleId="1037">
    <w:name w:val="Intense Quote"/>
    <w:basedOn w:val="996"/>
    <w:next w:val="996"/>
    <w:link w:val="103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38" w:customStyle="1">
    <w:name w:val="Выделенная цитата Знак"/>
    <w:link w:val="1037"/>
    <w:uiPriority w:val="30"/>
    <w:rPr>
      <w:i/>
    </w:rPr>
  </w:style>
  <w:style w:type="character" w:styleId="1039" w:customStyle="1">
    <w:name w:val="Header Char"/>
    <w:basedOn w:val="1006"/>
    <w:uiPriority w:val="99"/>
  </w:style>
  <w:style w:type="character" w:styleId="1040" w:customStyle="1">
    <w:name w:val="Footer Char"/>
    <w:basedOn w:val="1006"/>
    <w:uiPriority w:val="99"/>
  </w:style>
  <w:style w:type="paragraph" w:styleId="1041">
    <w:name w:val="Caption"/>
    <w:basedOn w:val="996"/>
    <w:next w:val="996"/>
    <w:link w:val="104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042" w:customStyle="1">
    <w:name w:val="Caption Char"/>
    <w:uiPriority w:val="99"/>
  </w:style>
  <w:style w:type="table" w:styleId="1043" w:customStyle="1">
    <w:name w:val="Table Grid Light"/>
    <w:basedOn w:val="100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44" w:customStyle="1">
    <w:name w:val="Таблица простая 11"/>
    <w:basedOn w:val="100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45" w:customStyle="1">
    <w:name w:val="Таблица простая 21"/>
    <w:basedOn w:val="100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46" w:customStyle="1">
    <w:name w:val="Таблица простая 31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47" w:customStyle="1">
    <w:name w:val="Таблица простая 41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 w:customStyle="1">
    <w:name w:val="Таблица простая 51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49" w:customStyle="1">
    <w:name w:val="Таблица-сетка 1 светлая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 w:customStyle="1">
    <w:name w:val="Grid Table 1 Light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 w:customStyle="1">
    <w:name w:val="Grid Table 1 Light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 w:customStyle="1">
    <w:name w:val="Grid Table 1 Light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 w:customStyle="1">
    <w:name w:val="Grid Table 1 Light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 w:customStyle="1">
    <w:name w:val="Grid Table 1 Light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 w:customStyle="1">
    <w:name w:val="Grid Table 1 Light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 w:customStyle="1">
    <w:name w:val="Таблица-сетка 2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Grid Table 2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 w:customStyle="1">
    <w:name w:val="Grid Table 2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 w:customStyle="1">
    <w:name w:val="Grid Table 2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 w:customStyle="1">
    <w:name w:val="Grid Table 2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 w:customStyle="1">
    <w:name w:val="Grid Table 2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 w:customStyle="1">
    <w:name w:val="Grid Table 2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 w:customStyle="1">
    <w:name w:val="Таблица-сетка 3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 w:customStyle="1">
    <w:name w:val="Grid Table 3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 w:customStyle="1">
    <w:name w:val="Grid Table 3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 w:customStyle="1">
    <w:name w:val="Grid Table 3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 w:customStyle="1">
    <w:name w:val="Grid Table 3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 w:customStyle="1">
    <w:name w:val="Grid Table 3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 w:customStyle="1">
    <w:name w:val="Grid Table 3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 w:customStyle="1">
    <w:name w:val="Таблица-сетка 41"/>
    <w:basedOn w:val="10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71" w:customStyle="1">
    <w:name w:val="Grid Table 4 - Accent 1"/>
    <w:basedOn w:val="10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072" w:customStyle="1">
    <w:name w:val="Grid Table 4 - Accent 2"/>
    <w:basedOn w:val="10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073" w:customStyle="1">
    <w:name w:val="Grid Table 4 - Accent 3"/>
    <w:basedOn w:val="10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74" w:customStyle="1">
    <w:name w:val="Grid Table 4 - Accent 4"/>
    <w:basedOn w:val="10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075" w:customStyle="1">
    <w:name w:val="Grid Table 4 - Accent 5"/>
    <w:basedOn w:val="10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076" w:customStyle="1">
    <w:name w:val="Grid Table 4 - Accent 6"/>
    <w:basedOn w:val="10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77" w:customStyle="1">
    <w:name w:val="Таблица-сетка 5 темная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78" w:customStyle="1">
    <w:name w:val="Grid Table 5 Dark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079" w:customStyle="1">
    <w:name w:val="Grid Table 5 Dark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80" w:customStyle="1">
    <w:name w:val="Grid Table 5 Dark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81" w:customStyle="1">
    <w:name w:val="Grid Table 5 Dark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82" w:customStyle="1">
    <w:name w:val="Grid Table 5 Dark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083" w:customStyle="1">
    <w:name w:val="Grid Table 5 Dark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84" w:customStyle="1">
    <w:name w:val="Таблица-сетка 6 цветная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85" w:customStyle="1">
    <w:name w:val="Grid Table 6 Colorful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086" w:customStyle="1">
    <w:name w:val="Grid Table 6 Colorful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87" w:customStyle="1">
    <w:name w:val="Grid Table 6 Colorful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88" w:customStyle="1">
    <w:name w:val="Grid Table 6 Colorful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89" w:customStyle="1">
    <w:name w:val="Grid Table 6 Colorful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90" w:customStyle="1">
    <w:name w:val="Grid Table 6 Colorful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91" w:customStyle="1">
    <w:name w:val="Таблица-сетка 7 цветная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 w:customStyle="1">
    <w:name w:val="Grid Table 7 Colorful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 w:customStyle="1">
    <w:name w:val="Grid Table 7 Colorful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Grid Table 7 Colorful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 w:customStyle="1">
    <w:name w:val="Grid Table 7 Colorful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 w:customStyle="1">
    <w:name w:val="Grid Table 7 Colorful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 w:customStyle="1">
    <w:name w:val="Grid Table 7 Colorful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 w:customStyle="1">
    <w:name w:val="Список-таблица 1 светлая1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 w:customStyle="1">
    <w:name w:val="List Table 1 Light - Accent 1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 w:customStyle="1">
    <w:name w:val="List Table 1 Light - Accent 2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 w:customStyle="1">
    <w:name w:val="List Table 1 Light - Accent 3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 w:customStyle="1">
    <w:name w:val="List Table 1 Light - Accent 4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 w:customStyle="1">
    <w:name w:val="List Table 1 Light - Accent 5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 w:customStyle="1">
    <w:name w:val="List Table 1 Light - Accent 6"/>
    <w:basedOn w:val="10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 w:customStyle="1">
    <w:name w:val="Список-таблица 2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106" w:customStyle="1">
    <w:name w:val="List Table 2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107" w:customStyle="1">
    <w:name w:val="List Table 2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108" w:customStyle="1">
    <w:name w:val="List Table 2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109" w:customStyle="1">
    <w:name w:val="List Table 2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110" w:customStyle="1">
    <w:name w:val="List Table 2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111" w:customStyle="1">
    <w:name w:val="List Table 2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112" w:customStyle="1">
    <w:name w:val="Список-таблица 3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 w:customStyle="1">
    <w:name w:val="List Table 3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 w:customStyle="1">
    <w:name w:val="List Table 3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 w:customStyle="1">
    <w:name w:val="List Table 3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6" w:customStyle="1">
    <w:name w:val="List Table 3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7" w:customStyle="1">
    <w:name w:val="List Table 3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8" w:customStyle="1">
    <w:name w:val="List Table 3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9" w:customStyle="1">
    <w:name w:val="Список-таблица 4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0" w:customStyle="1">
    <w:name w:val="List Table 4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1" w:customStyle="1">
    <w:name w:val="List Table 4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2" w:customStyle="1">
    <w:name w:val="List Table 4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3" w:customStyle="1">
    <w:name w:val="List Table 4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4" w:customStyle="1">
    <w:name w:val="List Table 4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5" w:customStyle="1">
    <w:name w:val="List Table 4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6" w:customStyle="1">
    <w:name w:val="Список-таблица 5 темная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27" w:customStyle="1">
    <w:name w:val="List Table 5 Dark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28" w:customStyle="1">
    <w:name w:val="List Table 5 Dark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29" w:customStyle="1">
    <w:name w:val="List Table 5 Dark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30" w:customStyle="1">
    <w:name w:val="List Table 5 Dark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31" w:customStyle="1">
    <w:name w:val="List Table 5 Dark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32" w:customStyle="1">
    <w:name w:val="List Table 5 Dark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33" w:customStyle="1">
    <w:name w:val="Список-таблица 6 цветная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34" w:customStyle="1">
    <w:name w:val="List Table 6 Colorful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135" w:customStyle="1">
    <w:name w:val="List Table 6 Colorful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136" w:customStyle="1">
    <w:name w:val="List Table 6 Colorful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137" w:customStyle="1">
    <w:name w:val="List Table 6 Colorful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138" w:customStyle="1">
    <w:name w:val="List Table 6 Colorful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139" w:customStyle="1">
    <w:name w:val="List Table 6 Colorful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140" w:customStyle="1">
    <w:name w:val="Список-таблица 7 цветная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1" w:customStyle="1">
    <w:name w:val="List Table 7 Colorful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2" w:customStyle="1">
    <w:name w:val="List Table 7 Colorful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3" w:customStyle="1">
    <w:name w:val="List Table 7 Colorful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4" w:customStyle="1">
    <w:name w:val="List Table 7 Colorful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5" w:customStyle="1">
    <w:name w:val="List Table 7 Colorful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6" w:customStyle="1">
    <w:name w:val="List Table 7 Colorful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 w:customStyle="1">
    <w:name w:val="Lined - Accent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48" w:customStyle="1">
    <w:name w:val="Lined - Accent 1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49" w:customStyle="1">
    <w:name w:val="Lined - Accent 2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50" w:customStyle="1">
    <w:name w:val="Lined - Accent 3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51" w:customStyle="1">
    <w:name w:val="Lined - Accent 4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52" w:customStyle="1">
    <w:name w:val="Lined - Accent 5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53" w:customStyle="1">
    <w:name w:val="Lined - Accent 6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54" w:customStyle="1">
    <w:name w:val="Bordered &amp; Lined - Accent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55" w:customStyle="1">
    <w:name w:val="Bordered &amp; Lined - Accent 1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56" w:customStyle="1">
    <w:name w:val="Bordered &amp; Lined - Accent 2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57" w:customStyle="1">
    <w:name w:val="Bordered &amp; Lined - Accent 3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58" w:customStyle="1">
    <w:name w:val="Bordered &amp; Lined - Accent 4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59" w:customStyle="1">
    <w:name w:val="Bordered &amp; Lined - Accent 5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60" w:customStyle="1">
    <w:name w:val="Bordered &amp; Lined - Accent 6"/>
    <w:basedOn w:val="10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61" w:customStyle="1">
    <w:name w:val="Bordered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62" w:customStyle="1">
    <w:name w:val="Bordered - Accent 1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163" w:customStyle="1">
    <w:name w:val="Bordered - Accent 2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164" w:customStyle="1">
    <w:name w:val="Bordered - Accent 3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65" w:customStyle="1">
    <w:name w:val="Bordered - Accent 4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166" w:customStyle="1">
    <w:name w:val="Bordered - Accent 5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167" w:customStyle="1">
    <w:name w:val="Bordered - Accent 6"/>
    <w:basedOn w:val="10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1168">
    <w:name w:val="footnote text"/>
    <w:basedOn w:val="996"/>
    <w:link w:val="1169"/>
    <w:uiPriority w:val="99"/>
    <w:semiHidden/>
    <w:unhideWhenUsed/>
    <w:pPr>
      <w:spacing w:after="40"/>
    </w:pPr>
    <w:rPr>
      <w:sz w:val="18"/>
    </w:rPr>
  </w:style>
  <w:style w:type="character" w:styleId="1169" w:customStyle="1">
    <w:name w:val="Текст сноски Знак"/>
    <w:link w:val="1168"/>
    <w:uiPriority w:val="99"/>
    <w:rPr>
      <w:sz w:val="18"/>
    </w:rPr>
  </w:style>
  <w:style w:type="character" w:styleId="1170">
    <w:name w:val="footnote reference"/>
    <w:basedOn w:val="1006"/>
    <w:uiPriority w:val="99"/>
    <w:unhideWhenUsed/>
    <w:rPr>
      <w:vertAlign w:val="superscript"/>
    </w:rPr>
  </w:style>
  <w:style w:type="paragraph" w:styleId="1171">
    <w:name w:val="endnote text"/>
    <w:basedOn w:val="996"/>
    <w:link w:val="1172"/>
    <w:uiPriority w:val="99"/>
    <w:semiHidden/>
    <w:unhideWhenUsed/>
    <w:rPr>
      <w:sz w:val="20"/>
    </w:rPr>
  </w:style>
  <w:style w:type="character" w:styleId="1172" w:customStyle="1">
    <w:name w:val="Текст концевой сноски Знак"/>
    <w:link w:val="1171"/>
    <w:uiPriority w:val="99"/>
    <w:rPr>
      <w:sz w:val="20"/>
    </w:rPr>
  </w:style>
  <w:style w:type="character" w:styleId="1173">
    <w:name w:val="endnote reference"/>
    <w:basedOn w:val="1006"/>
    <w:uiPriority w:val="99"/>
    <w:semiHidden/>
    <w:unhideWhenUsed/>
    <w:rPr>
      <w:vertAlign w:val="superscript"/>
    </w:rPr>
  </w:style>
  <w:style w:type="paragraph" w:styleId="1174">
    <w:name w:val="toc 2"/>
    <w:basedOn w:val="996"/>
    <w:next w:val="996"/>
    <w:uiPriority w:val="39"/>
    <w:unhideWhenUsed/>
    <w:pPr>
      <w:ind w:left="283"/>
      <w:spacing w:after="57"/>
    </w:pPr>
  </w:style>
  <w:style w:type="paragraph" w:styleId="1175">
    <w:name w:val="toc 3"/>
    <w:basedOn w:val="996"/>
    <w:next w:val="996"/>
    <w:uiPriority w:val="39"/>
    <w:unhideWhenUsed/>
    <w:pPr>
      <w:ind w:left="567"/>
      <w:spacing w:after="57"/>
    </w:pPr>
  </w:style>
  <w:style w:type="paragraph" w:styleId="1176">
    <w:name w:val="toc 5"/>
    <w:basedOn w:val="996"/>
    <w:next w:val="996"/>
    <w:uiPriority w:val="39"/>
    <w:unhideWhenUsed/>
    <w:pPr>
      <w:ind w:left="1134"/>
      <w:spacing w:after="57"/>
    </w:pPr>
  </w:style>
  <w:style w:type="paragraph" w:styleId="1177">
    <w:name w:val="toc 6"/>
    <w:basedOn w:val="996"/>
    <w:next w:val="996"/>
    <w:uiPriority w:val="39"/>
    <w:unhideWhenUsed/>
    <w:pPr>
      <w:ind w:left="1417"/>
      <w:spacing w:after="57"/>
    </w:pPr>
  </w:style>
  <w:style w:type="paragraph" w:styleId="1178">
    <w:name w:val="toc 7"/>
    <w:basedOn w:val="996"/>
    <w:next w:val="996"/>
    <w:uiPriority w:val="39"/>
    <w:unhideWhenUsed/>
    <w:pPr>
      <w:ind w:left="1701"/>
      <w:spacing w:after="57"/>
    </w:pPr>
  </w:style>
  <w:style w:type="paragraph" w:styleId="1179">
    <w:name w:val="toc 8"/>
    <w:basedOn w:val="996"/>
    <w:next w:val="996"/>
    <w:uiPriority w:val="39"/>
    <w:unhideWhenUsed/>
    <w:pPr>
      <w:ind w:left="1984"/>
      <w:spacing w:after="57"/>
    </w:pPr>
  </w:style>
  <w:style w:type="paragraph" w:styleId="1180">
    <w:name w:val="toc 9"/>
    <w:basedOn w:val="996"/>
    <w:next w:val="996"/>
    <w:uiPriority w:val="39"/>
    <w:unhideWhenUsed/>
    <w:pPr>
      <w:ind w:left="2268"/>
      <w:spacing w:after="57"/>
    </w:pPr>
  </w:style>
  <w:style w:type="paragraph" w:styleId="1181">
    <w:name w:val="TOC Heading"/>
    <w:uiPriority w:val="39"/>
    <w:unhideWhenUsed/>
  </w:style>
  <w:style w:type="paragraph" w:styleId="1182">
    <w:name w:val="table of figures"/>
    <w:basedOn w:val="996"/>
    <w:next w:val="996"/>
    <w:uiPriority w:val="99"/>
    <w:unhideWhenUsed/>
  </w:style>
  <w:style w:type="paragraph" w:styleId="1183">
    <w:name w:val="toc 1"/>
    <w:basedOn w:val="996"/>
    <w:next w:val="996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character" w:styleId="1184">
    <w:name w:val="Hyperlink"/>
    <w:uiPriority w:val="99"/>
    <w:rPr>
      <w:color w:val="0000ff"/>
      <w:u w:val="single"/>
    </w:rPr>
  </w:style>
  <w:style w:type="paragraph" w:styleId="1185">
    <w:name w:val="toc 4"/>
    <w:basedOn w:val="996"/>
    <w:next w:val="996"/>
    <w:uiPriority w:val="39"/>
    <w:pPr>
      <w:ind w:left="560"/>
    </w:pPr>
    <w:rPr>
      <w:rFonts w:cstheme="minorHAnsi"/>
      <w:sz w:val="20"/>
      <w:szCs w:val="20"/>
    </w:rPr>
  </w:style>
  <w:style w:type="paragraph" w:styleId="1186">
    <w:name w:val="Header"/>
    <w:basedOn w:val="996"/>
    <w:link w:val="118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187" w:customStyle="1">
    <w:name w:val="Верхний колонтитул Знак"/>
    <w:basedOn w:val="1006"/>
    <w:link w:val="118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88">
    <w:name w:val="Footer"/>
    <w:basedOn w:val="996"/>
    <w:link w:val="118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189" w:customStyle="1">
    <w:name w:val="Нижний колонтитул Знак"/>
    <w:basedOn w:val="1006"/>
    <w:link w:val="118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90" w:customStyle="1">
    <w:name w:val="Заголовок 1 Знак"/>
    <w:basedOn w:val="1006"/>
    <w:link w:val="997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1191" w:customStyle="1">
    <w:name w:val="Заголовок 3 Знак"/>
    <w:basedOn w:val="1006"/>
    <w:link w:val="999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1192" w:customStyle="1">
    <w:name w:val="Заголовок 4 Знак"/>
    <w:basedOn w:val="1006"/>
    <w:link w:val="1000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1193" w:customStyle="1">
    <w:name w:val="комментарий"/>
    <w:rPr>
      <w:b/>
      <w:i/>
      <w:shd w:val="clear" w:color="auto" w:fill="ffff99"/>
    </w:rPr>
  </w:style>
  <w:style w:type="paragraph" w:styleId="1194" w:customStyle="1">
    <w:name w:val="Раздел положения"/>
    <w:basedOn w:val="996"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1195" w:customStyle="1">
    <w:name w:val="Подраздел раздела положения"/>
    <w:basedOn w:val="996"/>
    <w:pPr>
      <w:numPr>
        <w:ilvl w:val="1"/>
        <w:numId w:val="2"/>
      </w:numPr>
      <w:jc w:val="both"/>
      <w:spacing w:before="80" w:after="80"/>
    </w:pPr>
  </w:style>
  <w:style w:type="paragraph" w:styleId="1196">
    <w:name w:val="List Paragraph"/>
    <w:basedOn w:val="996"/>
    <w:link w:val="1197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character" w:styleId="1197" w:customStyle="1">
    <w:name w:val="Абзац списка Знак"/>
    <w:link w:val="1196"/>
    <w:uiPriority w:val="34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98" w:customStyle="1">
    <w:name w:val="Таблица шапка"/>
    <w:basedOn w:val="996"/>
    <w:pPr>
      <w:ind w:left="57" w:right="57"/>
      <w:keepNext/>
      <w:spacing w:before="40" w:after="40"/>
    </w:pPr>
    <w:rPr>
      <w:sz w:val="22"/>
      <w:szCs w:val="26"/>
    </w:rPr>
  </w:style>
  <w:style w:type="table" w:styleId="1199">
    <w:name w:val="Table Grid"/>
    <w:basedOn w:val="1007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00" w:customStyle="1">
    <w:name w:val="Таблица"/>
    <w:basedOn w:val="99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201">
    <w:name w:val="annotation text"/>
    <w:basedOn w:val="996"/>
    <w:link w:val="1202"/>
    <w:semiHidden/>
    <w:rPr>
      <w:sz w:val="20"/>
      <w:szCs w:val="20"/>
    </w:rPr>
  </w:style>
  <w:style w:type="character" w:styleId="1202" w:customStyle="1">
    <w:name w:val="Текст примечания Знак"/>
    <w:basedOn w:val="1006"/>
    <w:link w:val="1201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1203" w:customStyle="1">
    <w:name w:val="Сетка таблицы1"/>
    <w:basedOn w:val="1007"/>
    <w:next w:val="1199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04" w:customStyle="1">
    <w:name w:val="Сетка таблицы2"/>
    <w:basedOn w:val="1007"/>
    <w:next w:val="1199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05" w:customStyle="1">
    <w:name w:val="Сетка таблицы3"/>
    <w:basedOn w:val="1007"/>
    <w:next w:val="1199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06" w:customStyle="1">
    <w:name w:val="Знак примечания1"/>
    <w:uiPriority w:val="99"/>
    <w:semiHidden/>
    <w:rPr>
      <w:sz w:val="16"/>
      <w:szCs w:val="16"/>
    </w:rPr>
  </w:style>
  <w:style w:type="paragraph" w:styleId="1207">
    <w:name w:val="Balloon Text"/>
    <w:basedOn w:val="996"/>
    <w:link w:val="120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1208" w:customStyle="1">
    <w:name w:val="Текст выноски Знак"/>
    <w:basedOn w:val="1006"/>
    <w:link w:val="120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1209" w:customStyle="1">
    <w:name w:val="Без интервала"/>
    <w:next w:val="1048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0" w:customStyle="1">
    <w:name w:val="Text body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Liberation Serif" w:hAnsi="Liberation Serif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  <w:style w:type="paragraph" w:styleId="1211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://www.zakupki.gov.ru" TargetMode="External"/><Relationship Id="rId12" Type="http://schemas.openxmlformats.org/officeDocument/2006/relationships/hyperlink" Target="mailto:khalturina-ny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Коломин Олег Станиславович</dc:creator>
  <cp:lastModifiedBy>shevchenko_ko</cp:lastModifiedBy>
  <cp:revision>89</cp:revision>
  <dcterms:created xsi:type="dcterms:W3CDTF">2024-02-05T05:54:00Z</dcterms:created>
  <dcterms:modified xsi:type="dcterms:W3CDTF">2026-07-05T23:10:58Z</dcterms:modified>
</cp:coreProperties>
</file>